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B7" w:rsidRDefault="00F66349" w:rsidP="00F66349">
      <w:pPr>
        <w:spacing w:after="0"/>
        <w:jc w:val="right"/>
      </w:pP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7E6BB7" w:rsidRDefault="00F66349" w:rsidP="00F66349">
      <w:pPr>
        <w:spacing w:after="0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  <w:proofErr w:type="spellEnd"/>
    </w:p>
    <w:p w:rsidR="007E6BB7" w:rsidRDefault="00F66349" w:rsidP="00F66349">
      <w:pPr>
        <w:spacing w:after="0"/>
        <w:jc w:val="right"/>
      </w:pPr>
      <w:proofErr w:type="spellStart"/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spellEnd"/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265-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Ա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  <w:proofErr w:type="spellEnd"/>
    </w:p>
    <w:p w:rsidR="007E6BB7" w:rsidRDefault="00F66349" w:rsidP="00F66349">
      <w:pPr>
        <w:spacing w:after="0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7E6BB7" w:rsidRDefault="00F66349" w:rsidP="00F66349">
      <w:pPr>
        <w:spacing w:after="0"/>
        <w:jc w:val="center"/>
      </w:pPr>
      <w:proofErr w:type="spellStart"/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spellEnd"/>
      <w:proofErr w:type="gram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կնքելու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որոշման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մասին</w:t>
      </w:r>
      <w:proofErr w:type="spellEnd"/>
    </w:p>
    <w:p w:rsidR="007E6BB7" w:rsidRDefault="007E6BB7" w:rsidP="00F66349">
      <w:pPr>
        <w:spacing w:after="0"/>
        <w:jc w:val="center"/>
      </w:pPr>
    </w:p>
    <w:p w:rsidR="00F66349" w:rsidRPr="008B305D" w:rsidRDefault="00F66349" w:rsidP="00F66349">
      <w:pPr>
        <w:spacing w:after="0" w:line="240" w:lineRule="auto"/>
        <w:jc w:val="center"/>
        <w:rPr>
          <w:rFonts w:ascii="GHEA Grapalat" w:hAnsi="GHEA Grapalat"/>
          <w:szCs w:val="18"/>
        </w:rPr>
      </w:pP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ծածկագիրը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Pr="005460F2">
        <w:rPr>
          <w:rFonts w:ascii="GHEA Grapalat" w:hAnsi="GHEA Grapalat"/>
          <w:szCs w:val="18"/>
          <w:lang w:val="pt-BR"/>
        </w:rPr>
        <w:t>«</w:t>
      </w:r>
      <w:r>
        <w:rPr>
          <w:rFonts w:ascii="GHEA Grapalat" w:hAnsi="GHEA Grapalat" w:cs="Sylfaen"/>
          <w:b/>
          <w:lang w:val="hy-AM"/>
        </w:rPr>
        <w:t>ՆԱՊ-ԳՀԱՊՁԲ-ԲՆԱ-19/6</w:t>
      </w:r>
      <w:r w:rsidRPr="005460F2">
        <w:rPr>
          <w:rFonts w:ascii="GHEA Grapalat" w:hAnsi="GHEA Grapalat"/>
          <w:szCs w:val="18"/>
          <w:lang w:val="pt-BR"/>
        </w:rPr>
        <w:t>»</w:t>
      </w:r>
    </w:p>
    <w:p w:rsidR="00F66349" w:rsidRPr="008B305D" w:rsidRDefault="00F66349" w:rsidP="00F66349">
      <w:pPr>
        <w:spacing w:after="0" w:line="240" w:lineRule="auto"/>
        <w:jc w:val="center"/>
      </w:pPr>
    </w:p>
    <w:p w:rsidR="00F66349" w:rsidRPr="008B305D" w:rsidRDefault="00F66349" w:rsidP="00F66349">
      <w:pPr>
        <w:spacing w:after="0" w:line="240" w:lineRule="auto"/>
      </w:pPr>
      <w:r w:rsidRPr="008B305D">
        <w:rPr>
          <w:rFonts w:ascii="GHEA Grapalat" w:eastAsia="GHEA Grapalat" w:hAnsi="GHEA Grapalat" w:cs="GHEA Grapalat"/>
        </w:rPr>
        <w:t>&lt;&lt;</w:t>
      </w:r>
      <w:proofErr w:type="spellStart"/>
      <w:r w:rsidRPr="00E6363D">
        <w:rPr>
          <w:rFonts w:ascii="GHEA Grapalat" w:eastAsia="GHEA Grapalat" w:hAnsi="GHEA Grapalat" w:cs="GHEA Grapalat"/>
          <w:lang w:val="ru-RU"/>
        </w:rPr>
        <w:t>Նոր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 w:rsidRPr="00E6363D">
        <w:rPr>
          <w:rFonts w:ascii="GHEA Grapalat" w:eastAsia="GHEA Grapalat" w:hAnsi="GHEA Grapalat" w:cs="GHEA Grapalat"/>
          <w:lang w:val="ru-RU"/>
        </w:rPr>
        <w:t>Արեշ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 w:rsidRPr="00E6363D">
        <w:rPr>
          <w:rFonts w:ascii="GHEA Grapalat" w:eastAsia="GHEA Grapalat" w:hAnsi="GHEA Grapalat" w:cs="GHEA Grapalat"/>
          <w:lang w:val="ru-RU"/>
        </w:rPr>
        <w:t>պոլիկլինիկա</w:t>
      </w:r>
      <w:proofErr w:type="spellEnd"/>
      <w:r w:rsidRPr="008B305D">
        <w:rPr>
          <w:rFonts w:ascii="GHEA Grapalat" w:eastAsia="GHEA Grapalat" w:hAnsi="GHEA Grapalat" w:cs="GHEA Grapalat"/>
        </w:rPr>
        <w:t xml:space="preserve">&gt;&gt; </w:t>
      </w:r>
      <w:r w:rsidRPr="00E6363D">
        <w:rPr>
          <w:rFonts w:ascii="GHEA Grapalat" w:eastAsia="GHEA Grapalat" w:hAnsi="GHEA Grapalat" w:cs="GHEA Grapalat"/>
          <w:lang w:val="ru-RU"/>
        </w:rPr>
        <w:t>ՓԲԸ</w:t>
      </w:r>
      <w:r w:rsidRPr="008B305D"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  <w:lang w:val="ru-RU"/>
        </w:rPr>
        <w:t>ն</w:t>
      </w:r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ստորև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ներկայացնում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կարիքների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Բժշկական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նշանակության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ապրանքների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ru-RU"/>
        </w:rPr>
        <w:t>և</w:t>
      </w:r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նյութերի</w:t>
      </w:r>
      <w:proofErr w:type="spellEnd"/>
      <w:r w:rsidRPr="008B305D">
        <w:t xml:space="preserve"> </w:t>
      </w:r>
      <w:proofErr w:type="spellStart"/>
      <w:r>
        <w:rPr>
          <w:rFonts w:ascii="GHEA Grapalat" w:eastAsia="GHEA Grapalat" w:hAnsi="GHEA Grapalat" w:cs="GHEA Grapalat"/>
        </w:rPr>
        <w:t>ձեռքբերման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կազմակերպված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r w:rsidRPr="005460F2">
        <w:rPr>
          <w:rFonts w:ascii="GHEA Grapalat" w:hAnsi="GHEA Grapalat"/>
          <w:szCs w:val="18"/>
          <w:lang w:val="pt-BR"/>
        </w:rPr>
        <w:t>«</w:t>
      </w:r>
      <w:r>
        <w:rPr>
          <w:rFonts w:ascii="GHEA Grapalat" w:hAnsi="GHEA Grapalat" w:cs="Sylfaen"/>
          <w:b/>
          <w:lang w:val="hy-AM"/>
        </w:rPr>
        <w:t>ՆԱՊ-ԳՀԱՊՁԲ-ԲՆԱ-19/6</w:t>
      </w:r>
      <w:r w:rsidRPr="005460F2">
        <w:rPr>
          <w:rFonts w:ascii="GHEA Grapalat" w:hAnsi="GHEA Grapalat"/>
          <w:szCs w:val="18"/>
          <w:lang w:val="pt-BR"/>
        </w:rPr>
        <w:t xml:space="preserve">» </w:t>
      </w:r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արդյունքում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պայմանագիր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կնքելու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տեղեկատվությունը</w:t>
      </w:r>
      <w:proofErr w:type="spellEnd"/>
      <w:r w:rsidRPr="008B305D">
        <w:rPr>
          <w:rFonts w:ascii="GHEA Grapalat" w:eastAsia="GHEA Grapalat" w:hAnsi="GHEA Grapalat" w:cs="GHEA Grapalat"/>
        </w:rPr>
        <w:t xml:space="preserve">` </w:t>
      </w:r>
    </w:p>
    <w:p w:rsidR="00F66349" w:rsidRPr="008B305D" w:rsidRDefault="00F66349" w:rsidP="00F66349">
      <w:pPr>
        <w:spacing w:after="0" w:line="240" w:lineRule="auto"/>
        <w:jc w:val="center"/>
      </w:pPr>
    </w:p>
    <w:p w:rsidR="00F66349" w:rsidRDefault="00F66349" w:rsidP="00F66349">
      <w:pPr>
        <w:spacing w:after="0" w:line="240" w:lineRule="auto"/>
        <w:jc w:val="center"/>
      </w:pP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 w:rsidRPr="008B305D">
        <w:rPr>
          <w:rFonts w:ascii="GHEA Grapalat" w:eastAsia="GHEA Grapalat" w:hAnsi="GHEA Grapalat" w:cs="GHEA Grapalat"/>
        </w:rPr>
        <w:t xml:space="preserve"> 2019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մարտի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r w:rsidRPr="00F66349">
        <w:rPr>
          <w:rFonts w:ascii="GHEA Grapalat" w:eastAsia="GHEA Grapalat" w:hAnsi="GHEA Grapalat" w:cs="GHEA Grapalat"/>
        </w:rPr>
        <w:t>29</w:t>
      </w:r>
      <w:r w:rsidRPr="008B305D"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</w:rPr>
        <w:t>ի</w:t>
      </w:r>
      <w:r w:rsidRPr="008B305D">
        <w:rPr>
          <w:rFonts w:ascii="GHEA Grapalat" w:eastAsia="GHEA Grapalat" w:hAnsi="GHEA Grapalat" w:cs="GHEA Grapalat"/>
        </w:rPr>
        <w:t xml:space="preserve"> </w:t>
      </w:r>
      <w:proofErr w:type="gramStart"/>
      <w:r>
        <w:rPr>
          <w:rFonts w:ascii="GHEA Grapalat" w:eastAsia="GHEA Grapalat" w:hAnsi="GHEA Grapalat" w:cs="GHEA Grapalat"/>
        </w:rPr>
        <w:t>թիվ</w:t>
      </w:r>
      <w:r w:rsidRPr="008B305D">
        <w:rPr>
          <w:rFonts w:ascii="GHEA Grapalat" w:eastAsia="GHEA Grapalat" w:hAnsi="GHEA Grapalat" w:cs="GHEA Grapalat"/>
        </w:rPr>
        <w:t xml:space="preserve">2  </w:t>
      </w:r>
      <w:proofErr w:type="spellStart"/>
      <w:r>
        <w:rPr>
          <w:rFonts w:ascii="GHEA Grapalat" w:eastAsia="GHEA Grapalat" w:hAnsi="GHEA Grapalat" w:cs="GHEA Grapalat"/>
        </w:rPr>
        <w:t>որոշմամբ</w:t>
      </w:r>
      <w:proofErr w:type="spellEnd"/>
      <w:proofErr w:type="gram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հաստատվել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բոլոր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ներկայացված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հայտերի</w:t>
      </w:r>
      <w:proofErr w:type="spellEnd"/>
      <w:r w:rsidRPr="008B305D"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հրավերի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պահանջներին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համապատասխանության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գնահատման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արդյունքները</w:t>
      </w:r>
      <w:proofErr w:type="spellEnd"/>
      <w:r>
        <w:rPr>
          <w:rFonts w:ascii="GHEA Grapalat" w:eastAsia="GHEA Grapalat" w:hAnsi="GHEA Grapalat" w:cs="GHEA Grapalat"/>
        </w:rPr>
        <w:t>։</w:t>
      </w:r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որի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:rsidR="007E6BB7" w:rsidRDefault="007E6BB7" w:rsidP="00F66349">
      <w:pPr>
        <w:spacing w:after="0"/>
        <w:jc w:val="center"/>
      </w:pPr>
      <w:bookmarkStart w:id="0" w:name="_GoBack"/>
      <w:bookmarkEnd w:id="0"/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3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Ծածկապակի</w:t>
      </w:r>
      <w:proofErr w:type="spellEnd"/>
      <w:r>
        <w:rPr>
          <w:rFonts w:ascii="GHEA Grapalat" w:eastAsia="GHEA Grapalat" w:hAnsi="GHEA Grapalat" w:cs="GHEA Grapalat"/>
        </w:rPr>
        <w:t xml:space="preserve"> 22x22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8850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4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Ծայրակալ</w:t>
      </w:r>
      <w:proofErr w:type="spellEnd"/>
      <w:r>
        <w:rPr>
          <w:rFonts w:ascii="GHEA Grapalat" w:eastAsia="GHEA Grapalat" w:hAnsi="GHEA Grapalat" w:cs="GHEA Grapalat"/>
        </w:rPr>
        <w:t xml:space="preserve"> 100-1000</w:t>
      </w:r>
      <w:r>
        <w:rPr>
          <w:rFonts w:ascii="GHEA Grapalat" w:eastAsia="GHEA Grapalat" w:hAnsi="GHEA Grapalat" w:cs="GHEA Grapalat"/>
        </w:rPr>
        <w:t>մկլ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Դելտա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Pr="00F66349" w:rsidRDefault="00F66349" w:rsidP="00F66349">
            <w:pPr>
              <w:spacing w:after="0"/>
              <w:jc w:val="center"/>
              <w:rPr>
                <w:rFonts w:ascii="GHEA Grapalat" w:hAnsi="GHEA Grapalat"/>
                <w:sz w:val="18"/>
              </w:rPr>
            </w:pPr>
            <w:r w:rsidRPr="00F66349">
              <w:rPr>
                <w:rFonts w:ascii="GHEA Grapalat" w:eastAsia="GHEA Grapalat" w:hAnsi="GHEA Grapalat" w:cs="GHEA Grapalat"/>
                <w:b/>
                <w:bCs/>
                <w:sz w:val="18"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Pr="00F66349" w:rsidRDefault="00F66349" w:rsidP="00F66349">
            <w:pPr>
              <w:spacing w:after="0"/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F66349">
              <w:rPr>
                <w:rFonts w:ascii="GHEA Grapalat" w:hAnsi="GHEA Grapalat"/>
                <w:sz w:val="18"/>
                <w:lang w:val="ru-RU"/>
              </w:rPr>
              <w:t>Նախահաշվային</w:t>
            </w:r>
            <w:proofErr w:type="spellEnd"/>
            <w:r w:rsidRPr="00F6634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F66349">
              <w:rPr>
                <w:rFonts w:ascii="GHEA Grapalat" w:hAnsi="GHEA Grapalat"/>
                <w:sz w:val="18"/>
                <w:lang w:val="ru-RU"/>
              </w:rPr>
              <w:t>գնից</w:t>
            </w:r>
            <w:proofErr w:type="spellEnd"/>
            <w:r w:rsidRPr="00F6634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F66349">
              <w:rPr>
                <w:rFonts w:ascii="GHEA Grapalat" w:hAnsi="GHEA Grapalat"/>
                <w:sz w:val="18"/>
                <w:lang w:val="ru-RU"/>
              </w:rPr>
              <w:t>բարձր</w:t>
            </w:r>
            <w:proofErr w:type="spellEnd"/>
            <w:r w:rsidRPr="00F6634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F66349">
              <w:rPr>
                <w:rFonts w:ascii="GHEA Grapalat" w:hAnsi="GHEA Grapalat"/>
                <w:sz w:val="18"/>
                <w:lang w:val="ru-RU"/>
              </w:rPr>
              <w:lastRenderedPageBreak/>
              <w:t>գնային</w:t>
            </w:r>
            <w:proofErr w:type="spellEnd"/>
            <w:r w:rsidRPr="00F6634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F66349">
              <w:rPr>
                <w:rFonts w:ascii="GHEA Grapalat" w:hAnsi="GHEA Grapalat"/>
                <w:sz w:val="18"/>
                <w:lang w:val="ru-RU"/>
              </w:rPr>
              <w:t>առաջարկ</w:t>
            </w:r>
            <w:proofErr w:type="spellEnd"/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 w:rsidTr="00F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27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6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 w:rsidTr="00F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2627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7200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5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Տրիգլիցերիդ</w:t>
      </w:r>
      <w:proofErr w:type="spell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Դելտա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90000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109200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Դելտա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200000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6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Կալցիում</w:t>
      </w:r>
      <w:proofErr w:type="spellEnd"/>
      <w:r>
        <w:rPr>
          <w:rFonts w:ascii="GHEA Grapalat" w:eastAsia="GHEA Grapalat" w:hAnsi="GHEA Grapalat" w:cs="GHEA Grapalat"/>
        </w:rPr>
        <w:t xml:space="preserve"> 2x100</w:t>
      </w:r>
      <w:r>
        <w:rPr>
          <w:rFonts w:ascii="GHEA Grapalat" w:eastAsia="GHEA Grapalat" w:hAnsi="GHEA Grapalat" w:cs="GHEA Grapalat"/>
        </w:rPr>
        <w:t>մլ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19500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22200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</w:t>
      </w:r>
      <w:r>
        <w:rPr>
          <w:rFonts w:ascii="GHEA Grapalat" w:eastAsia="GHEA Grapalat" w:hAnsi="GHEA Grapalat" w:cs="GHEA Grapalat"/>
        </w:rPr>
        <w:t>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7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RPR </w:t>
      </w:r>
      <w:proofErr w:type="spellStart"/>
      <w:r>
        <w:rPr>
          <w:rFonts w:ascii="GHEA Grapalat" w:eastAsia="GHEA Grapalat" w:hAnsi="GHEA Grapalat" w:cs="GHEA Grapalat"/>
        </w:rPr>
        <w:t>կառբոն</w:t>
      </w:r>
      <w:proofErr w:type="spellEnd"/>
      <w:r>
        <w:rPr>
          <w:rFonts w:ascii="GHEA Grapalat" w:eastAsia="GHEA Grapalat" w:hAnsi="GHEA Grapalat" w:cs="GHEA Grapalat"/>
        </w:rPr>
        <w:t xml:space="preserve"> 1x100</w:t>
      </w:r>
      <w:r>
        <w:rPr>
          <w:rFonts w:ascii="GHEA Grapalat" w:eastAsia="GHEA Grapalat" w:hAnsi="GHEA Grapalat" w:cs="GHEA Grapalat"/>
        </w:rPr>
        <w:t>մլ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Դելտա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25900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76500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Դելտա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70000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8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Հեմոգլոբին</w:t>
      </w:r>
      <w:proofErr w:type="spell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Դելտա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85800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Վիոլա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126750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Դելտա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165000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9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Ռենտգեն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ժապավեն</w:t>
      </w:r>
      <w:proofErr w:type="spellEnd"/>
      <w:r>
        <w:rPr>
          <w:rFonts w:ascii="GHEA Grapalat" w:eastAsia="GHEA Grapalat" w:hAnsi="GHEA Grapalat" w:cs="GHEA Grapalat"/>
        </w:rPr>
        <w:t xml:space="preserve"> 24*30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76000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10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Ռենտգեն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ժապավեն</w:t>
      </w:r>
      <w:proofErr w:type="spellEnd"/>
      <w:r>
        <w:rPr>
          <w:rFonts w:ascii="GHEA Grapalat" w:eastAsia="GHEA Grapalat" w:hAnsi="GHEA Grapalat" w:cs="GHEA Grapalat"/>
        </w:rPr>
        <w:t xml:space="preserve"> 18*24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25000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11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proofErr w:type="gramStart"/>
      <w:r>
        <w:rPr>
          <w:rFonts w:ascii="GHEA Grapalat" w:eastAsia="GHEA Grapalat" w:hAnsi="GHEA Grapalat" w:cs="GHEA Grapalat"/>
        </w:rPr>
        <w:t>Ֆլյուորոգրաֆիայի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proofErr w:type="spellStart"/>
      <w:r>
        <w:rPr>
          <w:rFonts w:ascii="GHEA Grapalat" w:eastAsia="GHEA Grapalat" w:hAnsi="GHEA Grapalat" w:cs="GHEA Grapalat"/>
        </w:rPr>
        <w:t>ժապավեն</w:t>
      </w:r>
      <w:proofErr w:type="spellEnd"/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360000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</w:t>
      </w:r>
      <w:r>
        <w:rPr>
          <w:rFonts w:ascii="GHEA Grapalat" w:eastAsia="GHEA Grapalat" w:hAnsi="GHEA Grapalat" w:cs="GHEA Grapalat"/>
        </w:rPr>
        <w:t>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12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Ռենտգեն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ժապավենների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երևակիչ</w:t>
      </w:r>
      <w:proofErr w:type="spellEnd"/>
      <w:r>
        <w:rPr>
          <w:rFonts w:ascii="GHEA Grapalat" w:eastAsia="GHEA Grapalat" w:hAnsi="GHEA Grapalat" w:cs="GHEA Grapalat"/>
        </w:rPr>
        <w:t xml:space="preserve"> 30</w:t>
      </w:r>
      <w:proofErr w:type="gramStart"/>
      <w:r>
        <w:rPr>
          <w:rFonts w:ascii="GHEA Grapalat" w:eastAsia="GHEA Grapalat" w:hAnsi="GHEA Grapalat" w:cs="GHEA Grapalat"/>
        </w:rPr>
        <w:t>,0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40800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lastRenderedPageBreak/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13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Ռենտգեն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ժապավենների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ֆիկսաժ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ամրակիչ</w:t>
      </w:r>
      <w:proofErr w:type="spellEnd"/>
      <w:r>
        <w:rPr>
          <w:rFonts w:ascii="GHEA Grapalat" w:eastAsia="GHEA Grapalat" w:hAnsi="GHEA Grapalat" w:cs="GHEA Grapalat"/>
        </w:rPr>
        <w:t xml:space="preserve"> 30</w:t>
      </w:r>
      <w:proofErr w:type="gramStart"/>
      <w:r>
        <w:rPr>
          <w:rFonts w:ascii="GHEA Grapalat" w:eastAsia="GHEA Grapalat" w:hAnsi="GHEA Grapalat" w:cs="GHEA Grapalat"/>
        </w:rPr>
        <w:t>,0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Էսզեթ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Ֆարմա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40800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14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proofErr w:type="gramStart"/>
      <w:r>
        <w:rPr>
          <w:rFonts w:ascii="GHEA Grapalat" w:eastAsia="GHEA Grapalat" w:hAnsi="GHEA Grapalat" w:cs="GHEA Grapalat"/>
        </w:rPr>
        <w:t>Ներարկիչ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proofErr w:type="spellStart"/>
      <w:r>
        <w:rPr>
          <w:rFonts w:ascii="GHEA Grapalat" w:eastAsia="GHEA Grapalat" w:hAnsi="GHEA Grapalat" w:cs="GHEA Grapalat"/>
        </w:rPr>
        <w:t>ինսուլինային</w:t>
      </w:r>
      <w:proofErr w:type="spellEnd"/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Լեյկո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Լեյկո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2166.67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15</w:t>
      </w: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Սկարիֆիկատոր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  <w:proofErr w:type="spellEnd"/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Լեյկո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2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</w:tr>
    </w:tbl>
    <w:p w:rsidR="007E6BB7" w:rsidRDefault="007E6BB7" w:rsidP="00F66349">
      <w:pPr>
        <w:spacing w:after="0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E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Լեյկո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E6BB7" w:rsidRDefault="007E6BB7" w:rsidP="00F66349">
            <w:pPr>
              <w:spacing w:after="0"/>
              <w:jc w:val="center"/>
            </w:pPr>
          </w:p>
        </w:tc>
        <w:tc>
          <w:tcPr>
            <w:tcW w:w="3000" w:type="dxa"/>
            <w:vAlign w:val="center"/>
          </w:tcPr>
          <w:p w:rsidR="007E6BB7" w:rsidRDefault="00F66349" w:rsidP="00F66349">
            <w:pPr>
              <w:spacing w:after="0"/>
              <w:jc w:val="center"/>
            </w:pPr>
            <w:r>
              <w:rPr>
                <w:rFonts w:ascii="GHEA Grapalat" w:eastAsia="GHEA Grapalat" w:hAnsi="GHEA Grapalat" w:cs="GHEA Grapalat"/>
              </w:rPr>
              <w:t>2800</w:t>
            </w:r>
          </w:p>
        </w:tc>
      </w:tr>
    </w:tbl>
    <w:p w:rsidR="007E6BB7" w:rsidRDefault="007E6BB7" w:rsidP="00F66349">
      <w:pPr>
        <w:spacing w:after="0"/>
        <w:jc w:val="center"/>
      </w:pPr>
    </w:p>
    <w:p w:rsidR="007E6BB7" w:rsidRDefault="00F66349" w:rsidP="00F66349">
      <w:pPr>
        <w:spacing w:after="0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</w:t>
      </w:r>
      <w:r>
        <w:rPr>
          <w:rFonts w:ascii="GHEA Grapalat" w:eastAsia="GHEA Grapalat" w:hAnsi="GHEA Grapalat" w:cs="GHEA Grapalat"/>
        </w:rPr>
        <w:t>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7E6BB7" w:rsidRDefault="007E6BB7" w:rsidP="00F66349">
      <w:pPr>
        <w:spacing w:after="0"/>
        <w:jc w:val="center"/>
      </w:pPr>
    </w:p>
    <w:p w:rsidR="00F66349" w:rsidRDefault="00F66349" w:rsidP="00F66349">
      <w:pPr>
        <w:spacing w:after="0" w:line="240" w:lineRule="auto"/>
      </w:pPr>
      <w:r>
        <w:rPr>
          <w:rFonts w:ascii="GHEA Grapalat" w:eastAsia="GHEA Grapalat" w:hAnsi="GHEA Grapalat" w:cs="GHEA Grapalat"/>
        </w:rPr>
        <w:t>“</w:t>
      </w:r>
      <w:proofErr w:type="spellStart"/>
      <w:r>
        <w:rPr>
          <w:rFonts w:ascii="GHEA Grapalat" w:eastAsia="GHEA Grapalat" w:hAnsi="GHEA Grapalat" w:cs="GHEA Grapalat"/>
        </w:rPr>
        <w:t>Գնումների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” ՀՀ </w:t>
      </w:r>
      <w:proofErr w:type="spellStart"/>
      <w:r>
        <w:rPr>
          <w:rFonts w:ascii="GHEA Grapalat" w:eastAsia="GHEA Grapalat" w:hAnsi="GHEA Grapalat" w:cs="GHEA Grapalat"/>
        </w:rPr>
        <w:t>օրենքի</w:t>
      </w:r>
      <w:proofErr w:type="spellEnd"/>
      <w:r>
        <w:rPr>
          <w:rFonts w:ascii="GHEA Grapalat" w:eastAsia="GHEA Grapalat" w:hAnsi="GHEA Grapalat" w:cs="GHEA Grapalat"/>
        </w:rPr>
        <w:t xml:space="preserve"> 10-րդ </w:t>
      </w:r>
      <w:proofErr w:type="spellStart"/>
      <w:r>
        <w:rPr>
          <w:rFonts w:ascii="GHEA Grapalat" w:eastAsia="GHEA Grapalat" w:hAnsi="GHEA Grapalat" w:cs="GHEA Grapalat"/>
        </w:rPr>
        <w:t>հոդվածի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անգործության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ժամկետ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սահմանվում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հայտարարությունը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հրապարակվելու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օրվան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հաջորդող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օրվանից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մինչև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Pr="00E6363D">
        <w:rPr>
          <w:rFonts w:ascii="GHEA Grapalat" w:eastAsia="GHEA Grapalat" w:hAnsi="GHEA Grapalat" w:cs="GHEA Grapalat"/>
        </w:rPr>
        <w:t>5</w:t>
      </w:r>
      <w:r>
        <w:rPr>
          <w:rFonts w:ascii="GHEA Grapalat" w:eastAsia="GHEA Grapalat" w:hAnsi="GHEA Grapalat" w:cs="GHEA Grapalat"/>
        </w:rPr>
        <w:t xml:space="preserve">-րդ </w:t>
      </w:r>
      <w:proofErr w:type="spellStart"/>
      <w:r>
        <w:rPr>
          <w:rFonts w:ascii="GHEA Grapalat" w:eastAsia="GHEA Grapalat" w:hAnsi="GHEA Grapalat" w:cs="GHEA Grapalat"/>
        </w:rPr>
        <w:t>օրացուցային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ներառյալ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ընկած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ժամանակահատվածը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</w:p>
    <w:p w:rsidR="00F66349" w:rsidRDefault="00F66349" w:rsidP="00F66349">
      <w:pPr>
        <w:spacing w:after="0" w:line="240" w:lineRule="auto"/>
        <w:jc w:val="center"/>
      </w:pPr>
    </w:p>
    <w:p w:rsidR="00F66349" w:rsidRPr="000431F3" w:rsidRDefault="00F66349" w:rsidP="00F66349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հայտարարության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տեղեկություններ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ստանալու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եք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</w:t>
      </w:r>
      <w:proofErr w:type="spellEnd"/>
      <w:r w:rsidRPr="000431F3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ru-RU"/>
        </w:rPr>
        <w:t>Հ</w:t>
      </w:r>
      <w:r w:rsidRPr="000431F3">
        <w:rPr>
          <w:rFonts w:ascii="GHEA Grapalat" w:eastAsia="GHEA Grapalat" w:hAnsi="GHEA Grapalat" w:cs="GHEA Grapalat"/>
        </w:rPr>
        <w:t>.</w:t>
      </w:r>
      <w:proofErr w:type="spellStart"/>
      <w:r>
        <w:rPr>
          <w:rFonts w:ascii="GHEA Grapalat" w:eastAsia="GHEA Grapalat" w:hAnsi="GHEA Grapalat" w:cs="GHEA Grapalat"/>
          <w:lang w:val="ru-RU"/>
        </w:rPr>
        <w:t>Հակոբյանին</w:t>
      </w:r>
      <w:proofErr w:type="spellEnd"/>
    </w:p>
    <w:p w:rsidR="00F66349" w:rsidRDefault="00F66349" w:rsidP="00F66349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Հեռախոս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r w:rsidRPr="00E6363D">
        <w:rPr>
          <w:rFonts w:ascii="GHEA Grapalat" w:eastAsia="GHEA Grapalat" w:hAnsi="GHEA Grapalat" w:cs="GHEA Grapalat"/>
        </w:rPr>
        <w:t>+374</w:t>
      </w:r>
      <w:r>
        <w:rPr>
          <w:rFonts w:ascii="GHEA Grapalat" w:eastAsia="GHEA Grapalat" w:hAnsi="GHEA Grapalat" w:cs="GHEA Grapalat"/>
        </w:rPr>
        <w:t>10</w:t>
      </w:r>
      <w:r w:rsidRPr="00E6363D">
        <w:rPr>
          <w:rFonts w:ascii="GHEA Grapalat" w:eastAsia="GHEA Grapalat" w:hAnsi="GHEA Grapalat" w:cs="GHEA Grapalat"/>
        </w:rPr>
        <w:t>244974</w:t>
      </w:r>
      <w:r>
        <w:rPr>
          <w:rFonts w:ascii="GHEA Grapalat" w:eastAsia="GHEA Grapalat" w:hAnsi="GHEA Grapalat" w:cs="GHEA Grapalat"/>
        </w:rPr>
        <w:t>։</w:t>
      </w:r>
    </w:p>
    <w:p w:rsidR="00F66349" w:rsidRDefault="00F66349" w:rsidP="00F66349">
      <w:pPr>
        <w:spacing w:after="0" w:line="240" w:lineRule="auto"/>
        <w:jc w:val="center"/>
      </w:pPr>
    </w:p>
    <w:p w:rsidR="00F66349" w:rsidRDefault="00F66349" w:rsidP="00F66349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Էլեկոտրանային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փոստ</w:t>
      </w:r>
      <w:proofErr w:type="spellEnd"/>
      <w:r>
        <w:rPr>
          <w:rFonts w:ascii="GHEA Grapalat" w:eastAsia="GHEA Grapalat" w:hAnsi="GHEA Grapalat" w:cs="GHEA Grapalat"/>
        </w:rPr>
        <w:t>՝ Protender.itender@gmail.com։</w:t>
      </w:r>
    </w:p>
    <w:p w:rsidR="00F66349" w:rsidRDefault="00F66349" w:rsidP="00F66349">
      <w:pPr>
        <w:spacing w:after="0" w:line="240" w:lineRule="auto"/>
        <w:jc w:val="center"/>
      </w:pPr>
    </w:p>
    <w:p w:rsidR="00F66349" w:rsidRDefault="00F66349" w:rsidP="00F66349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Պատվիրատու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r w:rsidRPr="008B305D">
        <w:rPr>
          <w:rFonts w:ascii="GHEA Grapalat" w:eastAsia="GHEA Grapalat" w:hAnsi="GHEA Grapalat" w:cs="GHEA Grapalat"/>
        </w:rPr>
        <w:t>&lt;&lt;</w:t>
      </w:r>
      <w:proofErr w:type="spellStart"/>
      <w:r w:rsidRPr="00E6363D">
        <w:rPr>
          <w:rFonts w:ascii="GHEA Grapalat" w:eastAsia="GHEA Grapalat" w:hAnsi="GHEA Grapalat" w:cs="GHEA Grapalat"/>
          <w:lang w:val="ru-RU"/>
        </w:rPr>
        <w:t>Նոր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 w:rsidRPr="00E6363D">
        <w:rPr>
          <w:rFonts w:ascii="GHEA Grapalat" w:eastAsia="GHEA Grapalat" w:hAnsi="GHEA Grapalat" w:cs="GHEA Grapalat"/>
          <w:lang w:val="ru-RU"/>
        </w:rPr>
        <w:t>Արեշ</w:t>
      </w:r>
      <w:proofErr w:type="spellEnd"/>
      <w:r w:rsidRPr="008B305D">
        <w:rPr>
          <w:rFonts w:ascii="GHEA Grapalat" w:eastAsia="GHEA Grapalat" w:hAnsi="GHEA Grapalat" w:cs="GHEA Grapalat"/>
        </w:rPr>
        <w:t xml:space="preserve"> </w:t>
      </w:r>
      <w:proofErr w:type="spellStart"/>
      <w:r w:rsidRPr="00E6363D">
        <w:rPr>
          <w:rFonts w:ascii="GHEA Grapalat" w:eastAsia="GHEA Grapalat" w:hAnsi="GHEA Grapalat" w:cs="GHEA Grapalat"/>
          <w:lang w:val="ru-RU"/>
        </w:rPr>
        <w:t>պոլիկլինիկա</w:t>
      </w:r>
      <w:proofErr w:type="spellEnd"/>
      <w:r w:rsidRPr="008B305D">
        <w:rPr>
          <w:rFonts w:ascii="GHEA Grapalat" w:eastAsia="GHEA Grapalat" w:hAnsi="GHEA Grapalat" w:cs="GHEA Grapalat"/>
        </w:rPr>
        <w:t xml:space="preserve">&gt;&gt; </w:t>
      </w:r>
      <w:r w:rsidRPr="00E6363D">
        <w:rPr>
          <w:rFonts w:ascii="GHEA Grapalat" w:eastAsia="GHEA Grapalat" w:hAnsi="GHEA Grapalat" w:cs="GHEA Grapalat"/>
          <w:lang w:val="ru-RU"/>
        </w:rPr>
        <w:t>ՓԲԸ</w:t>
      </w:r>
      <w:r>
        <w:rPr>
          <w:rFonts w:ascii="GHEA Grapalat" w:eastAsia="GHEA Grapalat" w:hAnsi="GHEA Grapalat" w:cs="GHEA Grapalat"/>
        </w:rPr>
        <w:t xml:space="preserve"> ։</w:t>
      </w:r>
    </w:p>
    <w:p w:rsidR="00F66349" w:rsidRDefault="00F66349" w:rsidP="00F66349">
      <w:pPr>
        <w:spacing w:after="0" w:line="240" w:lineRule="auto"/>
      </w:pPr>
    </w:p>
    <w:p w:rsidR="007E6BB7" w:rsidRDefault="007E6BB7" w:rsidP="00F66349">
      <w:pPr>
        <w:spacing w:after="0"/>
      </w:pPr>
    </w:p>
    <w:sectPr w:rsidR="007E6BB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BB7"/>
    <w:rsid w:val="007E6BB7"/>
    <w:rsid w:val="00F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1459</Words>
  <Characters>8319</Characters>
  <Application>Microsoft Office Word</Application>
  <DocSecurity>0</DocSecurity>
  <Lines>69</Lines>
  <Paragraphs>19</Paragraphs>
  <ScaleCrop>false</ScaleCrop>
  <Manager/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2019-03-29T09:58:00Z</dcterms:created>
  <dcterms:modified xsi:type="dcterms:W3CDTF">2019-03-29T10:07:00Z</dcterms:modified>
  <cp:category/>
</cp:coreProperties>
</file>