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1E34AE23" w:rsidR="0022631D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CB4473" w:rsidRPr="00CB447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ավտոմեքենաների լվացման ծառայությունների </w:t>
      </w:r>
      <w:r w:rsidR="00E532E6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="00E532E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B447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ԳՀԾՁԲ-2026/Ա-10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B4473">
        <w:rPr>
          <w:rFonts w:ascii="GHEA Grapalat" w:eastAsia="Times New Roman" w:hAnsi="GHEA Grapalat" w:cs="Sylfaen"/>
          <w:sz w:val="20"/>
          <w:szCs w:val="20"/>
          <w:lang w:val="hy-AM" w:eastAsia="ru-RU"/>
        </w:rPr>
        <w:t>07.01.2026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60928A3" w14:textId="77777777" w:rsidR="000476FA" w:rsidRPr="006F54DF" w:rsidRDefault="000476FA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538"/>
        <w:gridCol w:w="810"/>
        <w:gridCol w:w="826"/>
        <w:gridCol w:w="811"/>
        <w:gridCol w:w="1270"/>
        <w:gridCol w:w="1323"/>
        <w:gridCol w:w="1800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8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EA2B58" w:rsidRPr="00CB4473" w14:paraId="6CB0AC86" w14:textId="77777777" w:rsidTr="00A13DA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4945BE47" w:rsidR="00EA2B58" w:rsidRPr="00753E26" w:rsidRDefault="00EA2B58" w:rsidP="00EA2B58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2539272" w14:textId="77777777" w:rsidR="00EA2B58" w:rsidRPr="00CB4473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CB4473">
              <w:rPr>
                <w:rFonts w:ascii="GHEA Grapalat" w:hAnsi="GHEA Grapalat"/>
                <w:sz w:val="18"/>
              </w:rPr>
              <w:t>Ավտոմե քենաների լվացման ծառայու թյուն</w:t>
            </w:r>
          </w:p>
          <w:p w14:paraId="3B2617F9" w14:textId="77777777" w:rsidR="00EA2B58" w:rsidRPr="00CB4473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CB4473">
              <w:rPr>
                <w:rFonts w:ascii="GHEA Grapalat" w:hAnsi="GHEA Grapalat"/>
                <w:sz w:val="18"/>
              </w:rPr>
              <w:t>/Երևան/</w:t>
            </w:r>
          </w:p>
          <w:p w14:paraId="2721F035" w14:textId="3F728F43" w:rsidR="00EA2B58" w:rsidRPr="00EC30A8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hAnsi="GHEA Grapalat"/>
                <w:sz w:val="18"/>
              </w:rPr>
              <w:t>CPV- 50111180/597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08EE47" w14:textId="24314231" w:rsidR="00EA2B58" w:rsidRPr="00EC30A8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DAA0F81" w14:textId="2B6F287F" w:rsidR="00EA2B58" w:rsidRPr="00C238B5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6021AF6A" w14:textId="2AA14B13" w:rsidR="00EA2B58" w:rsidRPr="00A76924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shd w:val="clear" w:color="auto" w:fill="auto"/>
            <w:vAlign w:val="center"/>
          </w:tcPr>
          <w:p w14:paraId="07535066" w14:textId="1D6AF614" w:rsidR="00EA2B58" w:rsidRPr="00EC30A8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2401932" w14:textId="500EEDAB" w:rsidR="00EA2B58" w:rsidRPr="00EC30A8" w:rsidRDefault="00EA2B58" w:rsidP="00EA2B5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64 650 000</w:t>
            </w:r>
          </w:p>
        </w:tc>
        <w:tc>
          <w:tcPr>
            <w:tcW w:w="1800" w:type="dxa"/>
            <w:shd w:val="clear" w:color="auto" w:fill="auto"/>
          </w:tcPr>
          <w:p w14:paraId="63AB650B" w14:textId="77777777" w:rsidR="00EA2B58" w:rsidRPr="00E12AED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16800 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13500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1505420" w14:textId="77777777" w:rsidR="00EA2B58" w:rsidRPr="0076268F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76268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պահանջներ</w:t>
            </w:r>
          </w:p>
          <w:p w14:paraId="41B83680" w14:textId="77777777" w:rsidR="00EA2B58" w:rsidRPr="0076268F" w:rsidRDefault="00EA2B58" w:rsidP="00FC4A61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Ավտո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լվացումը՝ հպումով, ոչ ավտոմատ եղանակով, սրահի մաքրում փոշեկուլի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530FB566" w14:textId="77777777" w:rsidR="00EA2B58" w:rsidRPr="00B71F16" w:rsidRDefault="00EA2B58" w:rsidP="00FC4A61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Լվացումից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հետո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թափքի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մակերեսը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ամբողջությամբ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մաքրվի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օգտագործված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նյութերի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մնացորդներից՝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ճնշմամբ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փոշիացված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ջրով։</w:t>
            </w:r>
          </w:p>
          <w:p w14:paraId="1CAEEF49" w14:textId="77777777" w:rsidR="00EA2B58" w:rsidRPr="00B71F16" w:rsidRDefault="00EA2B58" w:rsidP="00FC4A61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ցածր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տակ՝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7E1E8634" w14:textId="77777777" w:rsidR="00EA2B58" w:rsidRPr="00B71F16" w:rsidRDefault="00EA2B58" w:rsidP="00FC4A61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740F6C0D" w14:textId="77777777" w:rsidR="00EA2B58" w:rsidRPr="00B71F16" w:rsidRDefault="00EA2B58" w:rsidP="00FC4A61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իսկ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0EB135F9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Տեղակայման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պահանջներ</w:t>
            </w:r>
          </w:p>
          <w:p w14:paraId="3F703FB0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կայանները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գտնվեն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քաղաքում՝</w:t>
            </w:r>
          </w:p>
          <w:p w14:paraId="50481F8C" w14:textId="77777777" w:rsidR="00EA2B58" w:rsidRPr="00B71F16" w:rsidRDefault="00EA2B58" w:rsidP="00FC4A61">
            <w:pPr>
              <w:numPr>
                <w:ilvl w:val="0"/>
                <w:numId w:val="41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Թաիրով 14 հասցեից առավելագույնը 5 կմ հեռավորությամբ</w:t>
            </w:r>
          </w:p>
          <w:p w14:paraId="79EF2B2D" w14:textId="77777777" w:rsidR="00EA2B58" w:rsidRPr="0076268F" w:rsidRDefault="00EA2B58" w:rsidP="00FC4A61">
            <w:pPr>
              <w:numPr>
                <w:ilvl w:val="0"/>
                <w:numId w:val="41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Խորենացի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158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հասցեի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հարակից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տարածքից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առավելագույնը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3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կմ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հեռավորությամբ</w:t>
            </w:r>
          </w:p>
          <w:p w14:paraId="67585E13" w14:textId="77777777" w:rsidR="00EA2B58" w:rsidRPr="0076268F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lastRenderedPageBreak/>
              <w:t>Յուրաքանչյուր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կետ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ունենա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առնվազն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երկու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ավտոմեքենա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միաժամանակ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լվանալու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հնարավորություն։</w:t>
            </w:r>
          </w:p>
          <w:p w14:paraId="441DDB24" w14:textId="77777777" w:rsidR="00EA2B58" w:rsidRPr="00E12AED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486CBE8F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գործի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ամեն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օր՝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>07:00–22:00</w:t>
            </w:r>
            <w:r w:rsidRPr="00B71F16">
              <w:rPr>
                <w:rFonts w:ascii="GHEA Grapalat" w:hAnsi="GHEA Grapalat"/>
                <w:sz w:val="16"/>
                <w:szCs w:val="16"/>
              </w:rPr>
              <w:t>։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պահանջով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առանձնահատուկ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դեպքերում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B71F16">
              <w:rPr>
                <w:rFonts w:ascii="GHEA Grapalat" w:hAnsi="GHEA Grapalat"/>
                <w:sz w:val="16"/>
                <w:szCs w:val="16"/>
              </w:rPr>
              <w:t>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կարողանա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աշխատել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նաև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24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ժամյա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ռեժիմով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որի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Կատարողը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նախապես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տեղեկացվի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առնվազն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մեկ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օր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առաջ</w:t>
            </w:r>
            <w:r w:rsidRPr="00B71F16">
              <w:rPr>
                <w:rFonts w:ascii="GHEA Grapalat" w:hAnsi="GHEA Grapalat"/>
                <w:sz w:val="16"/>
                <w:szCs w:val="16"/>
              </w:rPr>
              <w:t>։</w:t>
            </w:r>
          </w:p>
          <w:p w14:paraId="0ED73C8F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723AEDCC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59C19F9F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1013593A" w14:textId="741581FB" w:rsidR="00EA2B58" w:rsidRPr="00BC2EEA" w:rsidRDefault="00EA2B58" w:rsidP="00FC4A6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անձանց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14:paraId="481DF82A" w14:textId="77777777" w:rsidR="00EA2B58" w:rsidRPr="00E12AED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առարկան է ՀՀ ներքին գործերի նախարարության հաշվեկշռում հաշվառված ավտոմեքենաների լվացման ծառայությունը։ Լվացման ենթակա ավտոմեքենաների թափքի տեսակներն են՝ սեդան և ամենագնաց։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Սեդան տեսակի ավտոմեքենաները նախատեսվում են լվացվեն առավելագույնը 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16800 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անգամ, իսկ ամենագնաց տեսակի ավտոմեքենաները՝ առավելագույնը 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13500</w:t>
            </w:r>
            <w:r w:rsidRPr="00E12AED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անգամ, ընդ որում՝ վճարումները կիրականացվեն յուրաքանչյուր ամիս փաստացի մատուցված ծառայությունների դիմաց՝ հանձնման-ընդունման արձանագրությունների և Պատվիրատուի կողմից հաստատված կտրոնների հիման վրա, իսկ չկատարված գումարի չափով պայմանագիրը լուծվում է, առանց որևէ իրավական պարտավորության։</w:t>
            </w:r>
          </w:p>
          <w:p w14:paraId="40C64A0F" w14:textId="77777777" w:rsidR="00EA2B58" w:rsidRPr="0076268F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Ծառայության մատուցման</w:t>
            </w:r>
            <w:r w:rsidRPr="0076268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պահանջներ</w:t>
            </w:r>
          </w:p>
          <w:p w14:paraId="12140362" w14:textId="77777777" w:rsidR="00EA2B58" w:rsidRPr="0076268F" w:rsidRDefault="00EA2B58" w:rsidP="00FC4A61">
            <w:pPr>
              <w:pStyle w:val="ListParagraph"/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Ավտո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մեքենաներ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 xml:space="preserve">ի լվացումը՝ հպումով, ոչ ավտոմատ եղանակով, սրահի մաքրում փոշեկուլի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միջոցով, շարժիչի արտաքին մակերևույթի կեղտաբծերի մաքրում, թափքի չորացում, լվացման ժամանակ օգտագործել միայն ավտոմոբիլների լվացման համար նախատեսված ոչ քայքայիչ լվացող նյութեր:</w:t>
            </w:r>
          </w:p>
          <w:p w14:paraId="24D28997" w14:textId="77777777" w:rsidR="00EA2B58" w:rsidRPr="00B71F16" w:rsidRDefault="00EA2B58" w:rsidP="00FC4A61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Լվացումից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հետո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թափքի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մակերեսը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ամբողջությամբ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մաքրվի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օգտագործված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նյութերի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մնացորդներից՝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բարձր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ճնշմամբ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փոշիացված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76268F">
              <w:rPr>
                <w:rFonts w:ascii="GHEA Grapalat" w:hAnsi="GHEA Grapalat"/>
                <w:sz w:val="16"/>
                <w:szCs w:val="16"/>
                <w:lang w:val="hy-AM"/>
              </w:rPr>
              <w:t>ջրով։</w:t>
            </w:r>
          </w:p>
          <w:p w14:paraId="3BF5282B" w14:textId="77777777" w:rsidR="00EA2B58" w:rsidRPr="00B71F16" w:rsidRDefault="00EA2B58" w:rsidP="00FC4A61">
            <w:pPr>
              <w:numPr>
                <w:ilvl w:val="0"/>
                <w:numId w:val="39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ապակիները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լվացվեն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նյութերով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հեղուկներով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ջրով՝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ցածր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ճնշման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տակ՝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ապահովելով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ապակիների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մակերեսի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մաքրումը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առանց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նստվածքների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հետքերի։</w:t>
            </w:r>
          </w:p>
          <w:p w14:paraId="4712C9F2" w14:textId="77777777" w:rsidR="00EA2B58" w:rsidRPr="00B71F16" w:rsidRDefault="00EA2B58" w:rsidP="00FC4A61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Սրահը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բեռնախցիկը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ավտոմեքենայի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ներքին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հատուկ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մաքրող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և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փայլեցնող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նյութերով։</w:t>
            </w:r>
          </w:p>
          <w:p w14:paraId="36DA17F7" w14:textId="77777777" w:rsidR="00EA2B58" w:rsidRPr="00B71F16" w:rsidRDefault="00EA2B58" w:rsidP="00FC4A61">
            <w:pPr>
              <w:numPr>
                <w:ilvl w:val="0"/>
                <w:numId w:val="40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մաքրվեն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սրահի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գորգերը՝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խոզանակային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մեթոդով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իսկ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ռետինե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գորգերի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դեպքում՝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լվացմամբ։</w:t>
            </w:r>
          </w:p>
          <w:p w14:paraId="67D62A68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Տեղակայման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պահանջներ</w:t>
            </w:r>
          </w:p>
          <w:p w14:paraId="1E25C328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կայանները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գտնվեն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Երևան</w:t>
            </w:r>
            <w:r w:rsidRPr="00B71F16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քաղաքում՝</w:t>
            </w:r>
          </w:p>
          <w:p w14:paraId="29BC942C" w14:textId="77777777" w:rsidR="00EA2B58" w:rsidRPr="00B71F16" w:rsidRDefault="00EA2B58" w:rsidP="00FC4A61">
            <w:pPr>
              <w:numPr>
                <w:ilvl w:val="0"/>
                <w:numId w:val="41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Թաիրով 14 հասցեից առավելագույնը 5 կմ հեռավորությամբ</w:t>
            </w:r>
          </w:p>
          <w:p w14:paraId="428D3021" w14:textId="77777777" w:rsidR="00EA2B58" w:rsidRPr="0076268F" w:rsidRDefault="00EA2B58" w:rsidP="00FC4A61">
            <w:pPr>
              <w:numPr>
                <w:ilvl w:val="0"/>
                <w:numId w:val="41"/>
              </w:num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Խորենացի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158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հասցեի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հարակից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տարածքից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առավելագույնը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3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կմ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հեռավորությամբ</w:t>
            </w:r>
          </w:p>
          <w:p w14:paraId="3D7C3B27" w14:textId="77777777" w:rsidR="00EA2B58" w:rsidRPr="0076268F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lastRenderedPageBreak/>
              <w:t>Յուրաքանչյուր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կետ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ունենա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առնվազն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երկու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ավտոմեքենա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միաժամանակ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լվանալու</w:t>
            </w:r>
            <w:r w:rsidRPr="0076268F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հնարավորություն։</w:t>
            </w:r>
          </w:p>
          <w:p w14:paraId="61F626DA" w14:textId="77777777" w:rsidR="00EA2B58" w:rsidRPr="00E12AED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Աշխատանքային</w:t>
            </w:r>
            <w:r w:rsidRPr="00E12AED">
              <w:rPr>
                <w:rFonts w:ascii="GHEA Grapalat" w:hAnsi="GHEA Grapalat"/>
                <w:b/>
                <w:bCs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</w:rPr>
              <w:t>ռեժիմ</w:t>
            </w:r>
          </w:p>
          <w:p w14:paraId="3B3D5150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գործի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ամեն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օր՝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>07:00–22:00</w:t>
            </w:r>
            <w:r w:rsidRPr="00B71F16">
              <w:rPr>
                <w:rFonts w:ascii="GHEA Grapalat" w:hAnsi="GHEA Grapalat"/>
                <w:sz w:val="16"/>
                <w:szCs w:val="16"/>
              </w:rPr>
              <w:t>։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պահանջով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առանձնահատուկ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դեպքերում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ավտոլվացման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կայան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ներ</w:t>
            </w:r>
            <w:r w:rsidRPr="00B71F16">
              <w:rPr>
                <w:rFonts w:ascii="GHEA Grapalat" w:hAnsi="GHEA Grapalat"/>
                <w:sz w:val="16"/>
                <w:szCs w:val="16"/>
              </w:rPr>
              <w:t>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կարողանա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աշխատել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նաև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24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ժամյա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ռեժիմով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B71F16">
              <w:rPr>
                <w:rFonts w:ascii="GHEA Grapalat" w:hAnsi="GHEA Grapalat"/>
                <w:sz w:val="16"/>
                <w:szCs w:val="16"/>
              </w:rPr>
              <w:t>որի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մասին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Կատարողը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պետք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է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նախապես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տեղեկացվի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Fonts w:ascii="GHEA Grapalat" w:hAnsi="GHEA Grapalat"/>
                <w:sz w:val="16"/>
                <w:szCs w:val="16"/>
              </w:rPr>
              <w:t>առնվազն</w:t>
            </w:r>
            <w:r w:rsidRPr="00E12AED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մեկ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օր</w:t>
            </w:r>
            <w:r w:rsidRPr="00E12AED">
              <w:rPr>
                <w:rStyle w:val="Strong"/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B71F16">
              <w:rPr>
                <w:rStyle w:val="Strong"/>
                <w:rFonts w:ascii="GHEA Grapalat" w:hAnsi="GHEA Grapalat"/>
                <w:sz w:val="16"/>
                <w:szCs w:val="16"/>
              </w:rPr>
              <w:t>առաջ</w:t>
            </w:r>
            <w:r w:rsidRPr="00B71F16">
              <w:rPr>
                <w:rFonts w:ascii="GHEA Grapalat" w:hAnsi="GHEA Grapalat"/>
                <w:sz w:val="16"/>
                <w:szCs w:val="16"/>
              </w:rPr>
              <w:t>։</w:t>
            </w:r>
          </w:p>
          <w:p w14:paraId="3A6534EB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Պատվիրատուի ավտոմեքենաների ժամանելուն պես Կատարողը պարտավոր է ապահովել արտահերթ սպասարկում՝ առավելագույնը 10 րոպեի ընթացքում։</w:t>
            </w:r>
          </w:p>
          <w:p w14:paraId="57ABE074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Մեկ ավտոմեքենայի լվացման առավելագույն տևողությունը պետք է լինի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35 րոպե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։</w:t>
            </w:r>
          </w:p>
          <w:p w14:paraId="77CEAE1C" w14:textId="77777777" w:rsidR="00EA2B58" w:rsidRPr="00B71F16" w:rsidRDefault="00EA2B58" w:rsidP="00FC4A61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Ծառայությունը մատուցվում է Պատվիրատուի կնիքով հաստատված կտրոնների միջոցով։ Յուրաքանչյուր կտրոն նախատեսված է մեկանգամյա օգտագործման համար։ Կտրոնները տրամադրվում են Պատվիրատուի կողմից։</w:t>
            </w:r>
          </w:p>
          <w:p w14:paraId="5152B32D" w14:textId="4EFA5E8F" w:rsidR="00EA2B58" w:rsidRPr="007C14E6" w:rsidRDefault="00EA2B58" w:rsidP="00FC4A6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Կատարողը ավտոլվացման ծառայություններն իրականացում է անձամբ՝ սեփական կամ վարձակալված տարածքում։ Ստանձնած պարտավորությունները վերապատվիրակելը այլ իրավաբանական կամ ֆիզիկական </w:t>
            </w:r>
            <w:r w:rsidRPr="00B71F16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անձանց </w:t>
            </w:r>
            <w:r w:rsidRPr="00B71F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արգելվում 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</w:tbl>
    <w:p w14:paraId="282C6847" w14:textId="4F682444" w:rsidR="00902F80" w:rsidRPr="002D0F64" w:rsidRDefault="00902F80" w:rsidP="00902F80">
      <w:pPr>
        <w:spacing w:before="0" w:after="0"/>
        <w:contextualSpacing/>
        <w:jc w:val="right"/>
        <w:rPr>
          <w:rFonts w:ascii="GHEA Grapalat" w:hAnsi="GHEA Grapalat"/>
          <w:b/>
          <w:i/>
          <w:sz w:val="18"/>
          <w:lang w:val="hy-AM"/>
        </w:rPr>
      </w:pPr>
      <w:r w:rsidRPr="002D0F64">
        <w:rPr>
          <w:rFonts w:ascii="GHEA Grapalat" w:hAnsi="GHEA Grapalat"/>
          <w:b/>
          <w:i/>
          <w:sz w:val="18"/>
          <w:lang w:val="hy-AM"/>
        </w:rPr>
        <w:lastRenderedPageBreak/>
        <w:t>Հավելված N 1.1</w:t>
      </w:r>
    </w:p>
    <w:tbl>
      <w:tblPr>
        <w:tblStyle w:val="TableGrid"/>
        <w:tblpPr w:leftFromText="180" w:rightFromText="180" w:vertAnchor="text" w:horzAnchor="margin" w:tblpXSpec="center" w:tblpY="290"/>
        <w:tblW w:w="0" w:type="auto"/>
        <w:tblLook w:val="04A0" w:firstRow="1" w:lastRow="0" w:firstColumn="1" w:lastColumn="0" w:noHBand="0" w:noVBand="1"/>
      </w:tblPr>
      <w:tblGrid>
        <w:gridCol w:w="918"/>
        <w:gridCol w:w="4050"/>
        <w:gridCol w:w="4608"/>
      </w:tblGrid>
      <w:tr w:rsidR="00902F80" w14:paraId="56B6B981" w14:textId="77777777" w:rsidTr="00C320AD">
        <w:trPr>
          <w:trHeight w:val="44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29D5" w14:textId="77777777" w:rsidR="00902F80" w:rsidRDefault="00902F80" w:rsidP="00902F80">
            <w:pPr>
              <w:spacing w:before="0" w:after="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Գնացուցակ</w:t>
            </w:r>
          </w:p>
        </w:tc>
      </w:tr>
      <w:tr w:rsidR="00902F80" w:rsidRPr="00902F80" w14:paraId="551D6DB1" w14:textId="77777777" w:rsidTr="00902F80">
        <w:trPr>
          <w:trHeight w:val="90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5DA2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EC8A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Ծառայությունների անվանում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380F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Ծառայության համար առաջարկվող գինը՝ մեկ միավոր հաշվարկով</w:t>
            </w:r>
          </w:p>
        </w:tc>
      </w:tr>
      <w:tr w:rsidR="00902F80" w14:paraId="760A3066" w14:textId="77777777" w:rsidTr="00902F80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FBC3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473A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Սեդան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3850" w14:textId="77777777" w:rsidR="00902F80" w:rsidRPr="0065284E" w:rsidRDefault="00902F80" w:rsidP="00902F80">
            <w:pPr>
              <w:spacing w:before="0" w:after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2000</w:t>
            </w:r>
          </w:p>
        </w:tc>
      </w:tr>
      <w:tr w:rsidR="00902F80" w14:paraId="71041151" w14:textId="77777777" w:rsidTr="00902F80">
        <w:trPr>
          <w:trHeight w:val="576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300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3136" w14:textId="77777777" w:rsidR="00902F80" w:rsidRDefault="00902F80" w:rsidP="00902F80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Ամենագնաց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1FB" w14:textId="77777777" w:rsidR="00902F80" w:rsidRPr="0065284E" w:rsidRDefault="00902F80" w:rsidP="00902F80">
            <w:pPr>
              <w:spacing w:before="0" w:after="0"/>
              <w:jc w:val="center"/>
              <w:rPr>
                <w:rFonts w:ascii="GHEA Grapalat" w:hAnsi="GHEA Grapalat"/>
              </w:rPr>
            </w:pPr>
            <w:r w:rsidRPr="00941660">
              <w:rPr>
                <w:rFonts w:ascii="GHEA Grapalat" w:hAnsi="GHEA Grapalat"/>
              </w:rPr>
              <w:t>2300</w:t>
            </w:r>
          </w:p>
        </w:tc>
      </w:tr>
    </w:tbl>
    <w:p w14:paraId="50AD6C9B" w14:textId="77777777" w:rsidR="00902F80" w:rsidRDefault="00902F80" w:rsidP="002D09F8">
      <w:pPr>
        <w:spacing w:before="0" w:after="0"/>
        <w:ind w:left="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26"/>
        <w:gridCol w:w="540"/>
        <w:gridCol w:w="246"/>
        <w:gridCol w:w="29"/>
        <w:gridCol w:w="290"/>
        <w:gridCol w:w="785"/>
        <w:gridCol w:w="572"/>
        <w:gridCol w:w="238"/>
        <w:gridCol w:w="175"/>
        <w:gridCol w:w="49"/>
        <w:gridCol w:w="611"/>
        <w:gridCol w:w="65"/>
        <w:gridCol w:w="450"/>
        <w:gridCol w:w="180"/>
        <w:gridCol w:w="500"/>
        <w:gridCol w:w="81"/>
        <w:gridCol w:w="519"/>
        <w:gridCol w:w="520"/>
        <w:gridCol w:w="25"/>
        <w:gridCol w:w="695"/>
        <w:gridCol w:w="37"/>
        <w:gridCol w:w="675"/>
        <w:gridCol w:w="208"/>
        <w:gridCol w:w="26"/>
        <w:gridCol w:w="404"/>
        <w:gridCol w:w="1800"/>
      </w:tblGrid>
      <w:tr w:rsidR="00235C0F" w:rsidRPr="00EA2B58" w14:paraId="4B8BC031" w14:textId="77777777" w:rsidTr="00050641">
        <w:trPr>
          <w:trHeight w:val="169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451180EC" w14:textId="72A71EBC" w:rsidR="00235C0F" w:rsidRPr="00A76924" w:rsidRDefault="00DC5C9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br w:type="page"/>
            </w:r>
            <w:r w:rsidR="009A7008"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="009A7008"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CB4473" w14:paraId="24C3B0CB" w14:textId="77777777" w:rsidTr="00050641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CB4473" w14:paraId="075EEA57" w14:textId="77777777" w:rsidTr="00050641">
        <w:trPr>
          <w:trHeight w:val="196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2568346" w:rsidR="00235C0F" w:rsidRPr="000B2910" w:rsidRDefault="00CB4473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04.12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BC3856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18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7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25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6310AE" w:rsidRPr="00EC30A8" w14:paraId="50825522" w14:textId="77777777" w:rsidTr="005A52AB">
        <w:trPr>
          <w:trHeight w:val="313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0AD5B9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7"/>
            <w:shd w:val="clear" w:color="auto" w:fill="auto"/>
            <w:vAlign w:val="center"/>
          </w:tcPr>
          <w:p w14:paraId="259F3C98" w14:textId="502A95F6" w:rsidR="006310AE" w:rsidRPr="00F93A46" w:rsidRDefault="00CB4473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Հենդ Արտ ՍՊԸ</w:t>
            </w: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ab/>
            </w:r>
          </w:p>
        </w:tc>
        <w:tc>
          <w:tcPr>
            <w:tcW w:w="2630" w:type="dxa"/>
            <w:gridSpan w:val="9"/>
            <w:shd w:val="clear" w:color="auto" w:fill="auto"/>
            <w:vAlign w:val="center"/>
          </w:tcPr>
          <w:p w14:paraId="1D867224" w14:textId="7BE1E24D" w:rsidR="006310AE" w:rsidRPr="00EC30A8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64 650 000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07303CDF" w:rsidR="006310AE" w:rsidRPr="00E40A23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3F967366" w:rsidR="006310AE" w:rsidRPr="008B33FA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64 650 000</w:t>
            </w:r>
          </w:p>
        </w:tc>
      </w:tr>
      <w:tr w:rsidR="006310AE" w:rsidRPr="00F343B8" w14:paraId="69EF614C" w14:textId="77777777" w:rsidTr="00050641">
        <w:trPr>
          <w:trHeight w:val="457"/>
        </w:trPr>
        <w:tc>
          <w:tcPr>
            <w:tcW w:w="1980" w:type="dxa"/>
            <w:gridSpan w:val="3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4"/>
            <w:shd w:val="clear" w:color="auto" w:fill="auto"/>
            <w:vAlign w:val="center"/>
          </w:tcPr>
          <w:p w14:paraId="4D8B0944" w14:textId="65056AF4" w:rsidR="006310AE" w:rsidRPr="006B5194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6310AE" w:rsidRPr="00F343B8" w14:paraId="700CD07F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050641"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050641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2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050641">
        <w:trPr>
          <w:trHeight w:val="289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050641">
        <w:trPr>
          <w:trHeight w:val="346"/>
        </w:trPr>
        <w:tc>
          <w:tcPr>
            <w:tcW w:w="49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2DA915" w:rsidR="006310AE" w:rsidRPr="001D08B8" w:rsidRDefault="00CB4473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24.12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.2025թ..</w:t>
            </w:r>
          </w:p>
        </w:tc>
      </w:tr>
      <w:tr w:rsidR="006310AE" w:rsidRPr="00EC30A8" w14:paraId="71BEA872" w14:textId="77777777" w:rsidTr="00050641">
        <w:trPr>
          <w:trHeight w:val="92"/>
        </w:trPr>
        <w:tc>
          <w:tcPr>
            <w:tcW w:w="4975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050641">
        <w:trPr>
          <w:trHeight w:val="92"/>
        </w:trPr>
        <w:tc>
          <w:tcPr>
            <w:tcW w:w="49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0DD99B25" w:rsidR="006310AE" w:rsidRPr="007C05CA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1F2462E" w:rsidR="006310AE" w:rsidRPr="00F008E4" w:rsidRDefault="00F343B8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6310AE" w:rsidRPr="005A33B0" w14:paraId="2254FA5C" w14:textId="77777777" w:rsidTr="00050641">
        <w:trPr>
          <w:trHeight w:val="344"/>
        </w:trPr>
        <w:tc>
          <w:tcPr>
            <w:tcW w:w="801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70E1078" w:rsidR="006310AE" w:rsidRPr="00EC30A8" w:rsidRDefault="00CB4473" w:rsidP="001048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26.12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914DD5" w14:paraId="2112129F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6CAC10D7" w:rsidR="006310AE" w:rsidRPr="006310AE" w:rsidRDefault="00CB4473" w:rsidP="00CB447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.01.2026</w:t>
            </w:r>
            <w:r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EC30A8" w14:paraId="0682C6BE" w14:textId="77777777" w:rsidTr="00050641">
        <w:trPr>
          <w:trHeight w:val="344"/>
        </w:trPr>
        <w:tc>
          <w:tcPr>
            <w:tcW w:w="801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8C8214B" w:rsidR="006310AE" w:rsidRPr="00296076" w:rsidRDefault="00CB4473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07.01.2026</w:t>
            </w:r>
            <w:r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6310AE" w:rsidRPr="00EC30A8" w14:paraId="79A64497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3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lastRenderedPageBreak/>
              <w:t xml:space="preserve">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6310AE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F3CCDDC" w:rsidR="006310AE" w:rsidRPr="00EC30A8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14:paraId="2183B64C" w14:textId="39818AC9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CB4473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ԳՀԾՁԲ-2026/Ա-10</w:t>
            </w:r>
          </w:p>
        </w:tc>
        <w:tc>
          <w:tcPr>
            <w:tcW w:w="1355" w:type="dxa"/>
            <w:gridSpan w:val="5"/>
            <w:shd w:val="clear" w:color="auto" w:fill="auto"/>
            <w:vAlign w:val="center"/>
          </w:tcPr>
          <w:p w14:paraId="54F54951" w14:textId="1E752091" w:rsidR="006310AE" w:rsidRPr="00F008E4" w:rsidRDefault="00CB4473" w:rsidP="00CB44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07.01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6</w:t>
            </w:r>
            <w:r w:rsidR="006310AE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610A7BBF" w14:textId="27572E97" w:rsidR="006310AE" w:rsidRPr="004E0E4A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 ձայ նագիրը ուժի մեջ մտնե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լուց 20 օր հետո, մինչև 20.12.</w:t>
            </w: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2026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757" w:type="dxa"/>
            <w:gridSpan w:val="3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7EB654E3" w:rsidR="006310AE" w:rsidRPr="002A0AA7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CB4473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64 650 000</w:t>
            </w:r>
          </w:p>
        </w:tc>
      </w:tr>
      <w:tr w:rsidR="006310AE" w:rsidRPr="00EC30A8" w14:paraId="41E4ED39" w14:textId="77777777" w:rsidTr="00050641">
        <w:trPr>
          <w:trHeight w:val="150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F03287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2327A0D1" w:rsidR="006310AE" w:rsidRPr="00137E20" w:rsidRDefault="00CB447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Հենդ Արտ ՍՊԸ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41F91E65" w:rsidR="006310AE" w:rsidRPr="00137E20" w:rsidRDefault="00CB4473" w:rsidP="00CB447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CB447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Ք. Երևան, Հովնաթանի փ.20ա, Հեռ.` 099 33 33 28, </w:t>
            </w: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26485D18" w:rsidR="006310AE" w:rsidRDefault="00CB4473" w:rsidP="006310AE">
            <w:pPr>
              <w:widowControl w:val="0"/>
              <w:spacing w:before="0" w:after="0"/>
              <w:ind w:left="0" w:firstLine="0"/>
              <w:jc w:val="center"/>
            </w:pPr>
            <w:hyperlink r:id="rId8" w:history="1">
              <w:r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hendartllc@mail.ru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D1EE73D" w:rsidR="006310AE" w:rsidRDefault="007A1B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2050022593931001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122AE7C6" w:rsidR="006310AE" w:rsidRDefault="007A1BBC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01306884</w:t>
            </w:r>
          </w:p>
        </w:tc>
      </w:tr>
      <w:tr w:rsidR="006310AE" w:rsidRPr="00F03287" w14:paraId="496A046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CB4473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CB4473" w14:paraId="485BF528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CB4473" w14:paraId="7DB42300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3C38793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A105CE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="00573FF5" w:rsidRPr="00F2689B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tntesakan-parekayin@mail.ru</w:t>
              </w:r>
            </w:hyperlink>
            <w:r w:rsidR="00573FF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CB4473" w14:paraId="3CC8B38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CB4473" w14:paraId="5484FA73" w14:textId="77777777" w:rsidTr="00050641">
        <w:trPr>
          <w:trHeight w:val="439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CB4473" w14:paraId="5A7FED5D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CB4473" w14:paraId="40B30E88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CB4473" w14:paraId="541BD7F7" w14:textId="77777777" w:rsidTr="00050641">
        <w:trPr>
          <w:trHeight w:val="288"/>
        </w:trPr>
        <w:tc>
          <w:tcPr>
            <w:tcW w:w="1116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CB4473" w14:paraId="4DE14D25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CB4473" w14:paraId="1DAD5D5C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050641">
        <w:trPr>
          <w:trHeight w:val="427"/>
        </w:trPr>
        <w:tc>
          <w:tcPr>
            <w:tcW w:w="54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050641">
        <w:trPr>
          <w:trHeight w:val="288"/>
        </w:trPr>
        <w:tc>
          <w:tcPr>
            <w:tcW w:w="11160" w:type="dxa"/>
            <w:gridSpan w:val="27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050641">
        <w:trPr>
          <w:trHeight w:val="227"/>
        </w:trPr>
        <w:tc>
          <w:tcPr>
            <w:tcW w:w="11160" w:type="dxa"/>
            <w:gridSpan w:val="27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050641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050641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1512E67F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bottom"/>
          </w:tcPr>
          <w:p w14:paraId="570A2BE5" w14:textId="3AFE0E12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7"/>
            <w:shd w:val="clear" w:color="auto" w:fill="auto"/>
            <w:vAlign w:val="center"/>
          </w:tcPr>
          <w:p w14:paraId="3C42DEDA" w14:textId="0E55F449" w:rsidR="006310AE" w:rsidRPr="00EC30A8" w:rsidRDefault="000D6353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8CEA6" w14:textId="77777777" w:rsidR="000D6353" w:rsidRDefault="000D6353" w:rsidP="0022631D">
      <w:pPr>
        <w:spacing w:before="0" w:after="0"/>
      </w:pPr>
      <w:r>
        <w:separator/>
      </w:r>
    </w:p>
  </w:endnote>
  <w:endnote w:type="continuationSeparator" w:id="0">
    <w:p w14:paraId="5B0B6DD5" w14:textId="77777777" w:rsidR="000D6353" w:rsidRDefault="000D63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EEFBB" w14:textId="77777777" w:rsidR="000D6353" w:rsidRDefault="000D6353" w:rsidP="0022631D">
      <w:pPr>
        <w:spacing w:before="0" w:after="0"/>
      </w:pPr>
      <w:r>
        <w:separator/>
      </w:r>
    </w:p>
  </w:footnote>
  <w:footnote w:type="continuationSeparator" w:id="0">
    <w:p w14:paraId="1CD57753" w14:textId="77777777" w:rsidR="000D6353" w:rsidRDefault="000D63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B6B"/>
    <w:multiLevelType w:val="multilevel"/>
    <w:tmpl w:val="5F64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44FE1A0D"/>
    <w:multiLevelType w:val="multilevel"/>
    <w:tmpl w:val="4848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4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E657C"/>
    <w:multiLevelType w:val="multilevel"/>
    <w:tmpl w:val="0956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2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5"/>
  </w:num>
  <w:num w:numId="5">
    <w:abstractNumId w:val="11"/>
  </w:num>
  <w:num w:numId="6">
    <w:abstractNumId w:val="26"/>
  </w:num>
  <w:num w:numId="7">
    <w:abstractNumId w:val="27"/>
  </w:num>
  <w:num w:numId="8">
    <w:abstractNumId w:val="12"/>
  </w:num>
  <w:num w:numId="9">
    <w:abstractNumId w:val="23"/>
  </w:num>
  <w:num w:numId="10">
    <w:abstractNumId w:val="19"/>
  </w:num>
  <w:num w:numId="11">
    <w:abstractNumId w:val="29"/>
  </w:num>
  <w:num w:numId="1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6"/>
  </w:num>
  <w:num w:numId="17">
    <w:abstractNumId w:val="10"/>
  </w:num>
  <w:num w:numId="18">
    <w:abstractNumId w:val="34"/>
  </w:num>
  <w:num w:numId="19">
    <w:abstractNumId w:val="31"/>
  </w:num>
  <w:num w:numId="20">
    <w:abstractNumId w:val="15"/>
  </w:num>
  <w:num w:numId="21">
    <w:abstractNumId w:val="32"/>
  </w:num>
  <w:num w:numId="22">
    <w:abstractNumId w:val="18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6"/>
  </w:num>
  <w:num w:numId="28">
    <w:abstractNumId w:val="33"/>
  </w:num>
  <w:num w:numId="29">
    <w:abstractNumId w:val="28"/>
  </w:num>
  <w:num w:numId="30">
    <w:abstractNumId w:val="0"/>
  </w:num>
  <w:num w:numId="31">
    <w:abstractNumId w:val="17"/>
  </w:num>
  <w:num w:numId="32">
    <w:abstractNumId w:val="21"/>
  </w:num>
  <w:num w:numId="33">
    <w:abstractNumId w:val="25"/>
  </w:num>
  <w:num w:numId="34">
    <w:abstractNumId w:val="14"/>
  </w:num>
  <w:num w:numId="35">
    <w:abstractNumId w:val="13"/>
  </w:num>
  <w:num w:numId="36">
    <w:abstractNumId w:val="16"/>
  </w:num>
  <w:num w:numId="37">
    <w:abstractNumId w:val="24"/>
  </w:num>
  <w:num w:numId="38">
    <w:abstractNumId w:val="3"/>
  </w:num>
  <w:num w:numId="39">
    <w:abstractNumId w:val="20"/>
  </w:num>
  <w:num w:numId="40">
    <w:abstractNumId w:val="30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1A81"/>
    <w:rsid w:val="00044EA8"/>
    <w:rsid w:val="00046CCF"/>
    <w:rsid w:val="000476FA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B0199"/>
    <w:rsid w:val="000B2910"/>
    <w:rsid w:val="000B351A"/>
    <w:rsid w:val="000D167E"/>
    <w:rsid w:val="000D6353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5A96"/>
    <w:rsid w:val="0041669A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3FF5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86046"/>
    <w:rsid w:val="0078682E"/>
    <w:rsid w:val="007A1BBC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2F80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05CE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7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146B5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26496"/>
    <w:rsid w:val="00E32156"/>
    <w:rsid w:val="00E3380C"/>
    <w:rsid w:val="00E33A25"/>
    <w:rsid w:val="00E3414B"/>
    <w:rsid w:val="00E36887"/>
    <w:rsid w:val="00E40A23"/>
    <w:rsid w:val="00E4188B"/>
    <w:rsid w:val="00E532E6"/>
    <w:rsid w:val="00E54C4D"/>
    <w:rsid w:val="00E56328"/>
    <w:rsid w:val="00E74643"/>
    <w:rsid w:val="00E860D0"/>
    <w:rsid w:val="00EA01A2"/>
    <w:rsid w:val="00EA2B58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45AA"/>
    <w:rsid w:val="00FC4A61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art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tesakan-parekayi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FFE9-185D-476F-AFA5-5C0BFA2C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291</cp:revision>
  <cp:lastPrinted>2025-09-16T06:18:00Z</cp:lastPrinted>
  <dcterms:created xsi:type="dcterms:W3CDTF">2021-06-28T12:08:00Z</dcterms:created>
  <dcterms:modified xsi:type="dcterms:W3CDTF">2026-01-07T13:17:00Z</dcterms:modified>
</cp:coreProperties>
</file>