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84" w:rsidRDefault="00BE5684" w:rsidP="00BE5684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BE5684" w:rsidRDefault="00BE5684" w:rsidP="00BE5684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BE5684" w:rsidRDefault="00BE5684" w:rsidP="00BE5684">
      <w:pPr>
        <w:pStyle w:val="3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lang w:val="hy-AM"/>
        </w:rPr>
        <w:t xml:space="preserve">«ԾՔ-ՀՄԱԾՁԲ-23/1» </w:t>
      </w:r>
    </w:p>
    <w:p w:rsidR="00BE5684" w:rsidRDefault="00BE5684" w:rsidP="00BE5684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Փորձագիտական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եզրակացության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տրամադրման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ծառայություններ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»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sz w:val="20"/>
          <w:lang w:val="hy-AM"/>
        </w:rPr>
        <w:t>ԾՔ</w:t>
      </w:r>
      <w:r>
        <w:rPr>
          <w:rFonts w:ascii="GHEA Grapalat" w:eastAsia="Calibri" w:hAnsi="GHEA Grapalat"/>
          <w:b w:val="0"/>
          <w:sz w:val="20"/>
          <w:lang w:val="af-ZA"/>
        </w:rPr>
        <w:t>-</w:t>
      </w:r>
      <w:r>
        <w:rPr>
          <w:rFonts w:ascii="GHEA Grapalat" w:eastAsia="Calibri" w:hAnsi="GHEA Grapalat" w:cs="Sylfaen"/>
          <w:b w:val="0"/>
          <w:sz w:val="20"/>
          <w:lang w:val="af-ZA"/>
        </w:rPr>
        <w:t>ՀՄԱԾՁԲ</w:t>
      </w:r>
      <w:r>
        <w:rPr>
          <w:rFonts w:ascii="GHEA Grapalat" w:eastAsia="Calibri" w:hAnsi="GHEA Grapalat"/>
          <w:b w:val="0"/>
          <w:sz w:val="20"/>
          <w:lang w:val="af-ZA"/>
        </w:rPr>
        <w:t xml:space="preserve">-23/1  </w:t>
      </w:r>
      <w:r>
        <w:rPr>
          <w:rFonts w:ascii="GHEA Grapalat" w:hAnsi="GHEA Grapalat" w:cs="Sylfaen"/>
          <w:b w:val="0"/>
          <w:sz w:val="20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sz w:val="20"/>
          <w:lang w:val="af-ZA"/>
        </w:rPr>
        <w:t>`</w:t>
      </w:r>
    </w:p>
    <w:p w:rsidR="00BE5684" w:rsidRDefault="00BE5684" w:rsidP="00BE5684">
      <w:pPr>
        <w:spacing w:after="240" w:line="276" w:lineRule="auto"/>
        <w:ind w:firstLine="709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>Գնահատող հանձնաժողովի</w:t>
      </w:r>
      <w:r>
        <w:rPr>
          <w:rFonts w:ascii="GHEA Grapalat" w:hAnsi="GHEA Grapalat"/>
          <w:i/>
          <w:lang w:val="af-ZA"/>
        </w:rPr>
        <w:t xml:space="preserve"> 2023 </w:t>
      </w:r>
      <w:r>
        <w:rPr>
          <w:rFonts w:ascii="GHEA Grapalat" w:hAnsi="GHEA Grapalat" w:cs="Sylfaen"/>
          <w:i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i/>
        </w:rPr>
        <w:t>ապրիլի</w:t>
      </w:r>
      <w:proofErr w:type="spellEnd"/>
      <w:r>
        <w:rPr>
          <w:rFonts w:ascii="GHEA Grapalat" w:hAnsi="GHEA Grapalat" w:cs="Sylfaen"/>
          <w:i/>
          <w:lang w:val="af-ZA"/>
        </w:rPr>
        <w:t xml:space="preserve"> 20</w:t>
      </w:r>
      <w:r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 w:cs="Sylfaen"/>
          <w:i/>
          <w:lang w:val="af-ZA"/>
        </w:rPr>
        <w:t>ի թիվ</w:t>
      </w:r>
      <w:r>
        <w:rPr>
          <w:rFonts w:ascii="GHEA Grapalat" w:hAnsi="GHEA Grapalat"/>
          <w:i/>
          <w:lang w:val="af-ZA"/>
        </w:rPr>
        <w:t xml:space="preserve"> 2 </w:t>
      </w:r>
      <w:r>
        <w:rPr>
          <w:rFonts w:ascii="GHEA Grapalat" w:hAnsi="GHEA Grapalat" w:cs="Sylfaen"/>
          <w:i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i/>
          <w:lang w:val="af-ZA"/>
        </w:rPr>
        <w:t xml:space="preserve">` </w:t>
      </w:r>
      <w:r>
        <w:rPr>
          <w:rFonts w:ascii="GHEA Grapalat" w:hAnsi="GHEA Grapalat" w:cs="Sylfaen"/>
          <w:i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i/>
          <w:lang w:val="af-ZA"/>
        </w:rPr>
        <w:t xml:space="preserve">։ </w:t>
      </w:r>
      <w:r>
        <w:rPr>
          <w:rFonts w:ascii="GHEA Grapalat" w:hAnsi="GHEA Grapalat" w:cs="Sylfaen"/>
          <w:i/>
          <w:lang w:val="af-ZA"/>
        </w:rPr>
        <w:t>Համաձյան որի</w:t>
      </w:r>
      <w:r>
        <w:rPr>
          <w:rFonts w:ascii="GHEA Grapalat" w:hAnsi="GHEA Grapalat"/>
          <w:i/>
          <w:lang w:val="af-ZA"/>
        </w:rPr>
        <w:t>`</w:t>
      </w:r>
    </w:p>
    <w:p w:rsidR="00BE5684" w:rsidRDefault="00BE5684" w:rsidP="00BE5684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BE5684" w:rsidRDefault="00BE5684" w:rsidP="00BE5684">
      <w:pPr>
        <w:spacing w:after="240" w:line="276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 առարկա է հանդիսանում</w:t>
      </w:r>
      <w:r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hy-AM"/>
        </w:rPr>
        <w:t>Փորձագիտական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hy-AM"/>
        </w:rPr>
        <w:t>եզրակացության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hy-AM"/>
        </w:rPr>
        <w:t>տրամադրման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hy-AM"/>
        </w:rPr>
        <w:t>ծառայություններ</w:t>
      </w:r>
      <w:r>
        <w:rPr>
          <w:rFonts w:ascii="GHEA Grapalat" w:hAnsi="GHEA Grapalat"/>
          <w:b/>
          <w:i/>
          <w:color w:val="000000" w:themeColor="text1"/>
          <w:shd w:val="clear" w:color="auto" w:fill="FFFFFF"/>
          <w:lang w:val="af-ZA"/>
        </w:rPr>
        <w:t>»</w:t>
      </w:r>
      <w:r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b/>
          <w:i/>
          <w:lang w:val="af-ZA"/>
        </w:rPr>
        <w:t xml:space="preserve">ի </w:t>
      </w:r>
      <w:r>
        <w:rPr>
          <w:rFonts w:ascii="GHEA Grapalat" w:hAnsi="GHEA Grapalat" w:cs="Sylfaen"/>
          <w:b/>
          <w:i/>
          <w:color w:val="000000"/>
          <w:lang w:val="hy-AM"/>
        </w:rPr>
        <w:t>ձեռքբերումը</w:t>
      </w:r>
      <w:r>
        <w:rPr>
          <w:rFonts w:ascii="GHEA Grapalat" w:hAnsi="GHEA Grapalat"/>
          <w:b/>
          <w:i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8"/>
        <w:gridCol w:w="1844"/>
        <w:gridCol w:w="1986"/>
        <w:gridCol w:w="2553"/>
      </w:tblGrid>
      <w:tr w:rsidR="00BE5684" w:rsidTr="00BE5684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E5684" w:rsidTr="00BE5684">
        <w:trPr>
          <w:trHeight w:val="9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684" w:rsidRDefault="00BE5684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«Քրեագետ» դատական և անկախ փորձաքննությունների կենտրոն»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684" w:rsidRDefault="00BE5684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84" w:rsidRDefault="00BE5684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84" w:rsidRDefault="00BE5684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BE5684" w:rsidRPr="00BE5684" w:rsidTr="00BE5684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BE5684" w:rsidRDefault="00BE5684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BE5684" w:rsidTr="00BE568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 w:eastAsia="en-US"/>
              </w:rPr>
              <w:t>«Քրեագետ» դատական և անկախ փորձաքննությունների կենտրոն»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84" w:rsidRDefault="00BE568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/>
                <w:bCs/>
                <w:lang w:eastAsia="en-US"/>
              </w:rPr>
            </w:pPr>
            <w:r>
              <w:rPr>
                <w:rFonts w:ascii="GHEA Grapalat" w:hAnsi="GHEA Grapalat" w:cs="Times Armenian"/>
                <w:b/>
                <w:bCs/>
                <w:lang w:eastAsia="en-US"/>
              </w:rPr>
              <w:t>2</w:t>
            </w: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/>
                <w:bCs/>
                <w:lang w:eastAsia="en-US"/>
              </w:rPr>
              <w:t>500 000</w:t>
            </w:r>
          </w:p>
        </w:tc>
      </w:tr>
    </w:tbl>
    <w:p w:rsidR="00BE5684" w:rsidRDefault="00BE5684" w:rsidP="00BE5684">
      <w:pPr>
        <w:pStyle w:val="31"/>
        <w:rPr>
          <w:rFonts w:ascii="GHEA Grapalat" w:hAnsi="GHEA Grapalat" w:cs="Sylfaen"/>
          <w:sz w:val="18"/>
          <w:szCs w:val="20"/>
          <w:lang w:val="ru-RU"/>
        </w:rPr>
      </w:pPr>
    </w:p>
    <w:p w:rsidR="00BE5684" w:rsidRDefault="00BE5684" w:rsidP="00BE5684">
      <w:pPr>
        <w:pStyle w:val="31"/>
        <w:ind w:left="0"/>
        <w:rPr>
          <w:rFonts w:ascii="GHEA Grapalat" w:hAnsi="GHEA Grapalat" w:cs="Sylfaen"/>
          <w:b/>
          <w:sz w:val="18"/>
          <w:lang w:val="ru-RU"/>
        </w:rPr>
      </w:pPr>
    </w:p>
    <w:p w:rsidR="00BE5684" w:rsidRDefault="00BE5684" w:rsidP="00BE5684">
      <w:pPr>
        <w:pStyle w:val="31"/>
        <w:spacing w:after="0"/>
        <w:ind w:left="0"/>
        <w:rPr>
          <w:rFonts w:ascii="GHEA Grapalat" w:hAnsi="GHEA Grapalat" w:cs="Sylfaen"/>
          <w:b/>
          <w:sz w:val="18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lang w:val="ru-RU"/>
        </w:rPr>
        <w:t>՝</w:t>
      </w:r>
      <w:r>
        <w:rPr>
          <w:rFonts w:ascii="GHEA Grapalat" w:hAnsi="GHEA Grapalat" w:cs="Sylfaen"/>
          <w:b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18"/>
          <w:lang w:val="ru-RU"/>
        </w:rPr>
        <w:t>և</w:t>
      </w:r>
      <w:r>
        <w:rPr>
          <w:rFonts w:ascii="GHEA Grapalat" w:hAnsi="GHEA Grapalat" w:cs="Sylfaen"/>
          <w:b/>
          <w:sz w:val="18"/>
          <w:lang w:val="af-ZA"/>
        </w:rPr>
        <w:t xml:space="preserve"> միակ մասնակից</w:t>
      </w:r>
      <w:r>
        <w:rPr>
          <w:rFonts w:ascii="GHEA Grapalat" w:hAnsi="GHEA Grapalat" w:cs="Tahoma"/>
          <w:b/>
          <w:sz w:val="18"/>
          <w:lang w:val="ru-RU"/>
        </w:rPr>
        <w:t>։</w:t>
      </w:r>
    </w:p>
    <w:p w:rsidR="00BE5684" w:rsidRDefault="00BE5684" w:rsidP="00BE5684">
      <w:pPr>
        <w:pStyle w:val="31"/>
        <w:spacing w:after="0"/>
        <w:rPr>
          <w:rFonts w:ascii="GHEA Grapalat" w:hAnsi="GHEA Grapalat"/>
          <w:b/>
          <w:bCs/>
          <w:sz w:val="18"/>
          <w:lang w:val="hy-AM"/>
        </w:rPr>
      </w:pPr>
      <w:r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proofErr w:type="spellStart"/>
      <w:r>
        <w:rPr>
          <w:rFonts w:ascii="GHEA Grapalat" w:hAnsi="GHEA Grapalat" w:cs="Sylfaen"/>
          <w:b/>
          <w:bCs/>
          <w:sz w:val="18"/>
        </w:rPr>
        <w:t>ցի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proofErr w:type="spellStart"/>
      <w:r>
        <w:rPr>
          <w:rFonts w:ascii="GHEA Grapalat" w:hAnsi="GHEA Grapalat" w:cs="Sylfaen"/>
          <w:b/>
          <w:bCs/>
          <w:sz w:val="18"/>
        </w:rPr>
        <w:t>իրը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</w:rPr>
        <w:t>է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սույն</w:t>
      </w:r>
      <w:proofErr w:type="spellEnd"/>
      <w:r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հայտարարության</w:t>
      </w:r>
      <w:proofErr w:type="spellEnd"/>
      <w:r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հրապարկումից</w:t>
      </w:r>
      <w:proofErr w:type="spellEnd"/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հետո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՝ 5 </w:t>
      </w:r>
      <w:r>
        <w:rPr>
          <w:rFonts w:ascii="GHEA Grapalat" w:hAnsi="GHEA Grapalat" w:cs="Sylfaen"/>
          <w:b/>
          <w:bCs/>
          <w:sz w:val="18"/>
          <w:lang w:val="hy-AM"/>
        </w:rPr>
        <w:t>աշխատանքային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օրվա</w:t>
      </w:r>
      <w:r>
        <w:rPr>
          <w:rFonts w:ascii="GHEA Grapalat" w:hAnsi="GHEA Grapalat"/>
          <w:b/>
          <w:bCs/>
          <w:sz w:val="18"/>
          <w:lang w:val="hy-AM"/>
        </w:rPr>
        <w:t xml:space="preserve">  </w:t>
      </w:r>
      <w:r>
        <w:rPr>
          <w:rFonts w:ascii="GHEA Grapalat" w:hAnsi="GHEA Grapalat" w:cs="Sylfaen"/>
          <w:b/>
          <w:bCs/>
          <w:sz w:val="18"/>
          <w:lang w:val="hy-AM"/>
        </w:rPr>
        <w:t>ընթացքում</w:t>
      </w:r>
      <w:r>
        <w:rPr>
          <w:rFonts w:ascii="GHEA Grapalat" w:hAnsi="GHEA Grapalat"/>
          <w:b/>
          <w:bCs/>
          <w:sz w:val="18"/>
          <w:lang w:val="hy-AM"/>
        </w:rPr>
        <w:t>:</w:t>
      </w:r>
    </w:p>
    <w:p w:rsidR="00BE5684" w:rsidRDefault="00BE5684" w:rsidP="00BE5684">
      <w:pPr>
        <w:pStyle w:val="31"/>
        <w:spacing w:after="0"/>
        <w:rPr>
          <w:rFonts w:ascii="GHEA Grapalat" w:hAnsi="GHEA Grapalat"/>
          <w:b/>
          <w:bCs/>
          <w:sz w:val="18"/>
          <w:lang w:val="hy-AM"/>
        </w:rPr>
      </w:pPr>
      <w:r>
        <w:rPr>
          <w:rFonts w:ascii="GHEA Grapalat" w:eastAsia="Calibri" w:hAnsi="GHEA Grapalat" w:cs="Sylfaen"/>
          <w:b/>
          <w:sz w:val="18"/>
          <w:szCs w:val="18"/>
          <w:lang w:val="hy-AM"/>
        </w:rPr>
        <w:t>Սույն ընթացակարգի մասով անգործության ժամկետ կիրառելի չէ:</w:t>
      </w:r>
    </w:p>
    <w:p w:rsidR="00BE5684" w:rsidRDefault="00BE5684" w:rsidP="00BE5684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8"/>
          <w:lang w:val="hy-AM"/>
        </w:rPr>
        <w:t>ԾՔ</w:t>
      </w:r>
      <w:r>
        <w:rPr>
          <w:rFonts w:ascii="GHEA Grapalat" w:eastAsia="Calibri" w:hAnsi="GHEA Grapalat"/>
          <w:b/>
          <w:sz w:val="18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lang w:val="af-ZA"/>
        </w:rPr>
        <w:t>ՀՄԱԾՁԲ</w:t>
      </w:r>
      <w:r>
        <w:rPr>
          <w:rFonts w:ascii="GHEA Grapalat" w:eastAsia="Calibri" w:hAnsi="GHEA Grapalat"/>
          <w:b/>
          <w:sz w:val="18"/>
          <w:lang w:val="af-ZA"/>
        </w:rPr>
        <w:t xml:space="preserve">-23/1 </w:t>
      </w:r>
      <w:r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BE5684" w:rsidRDefault="00BE5684" w:rsidP="00BE5684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BE5684" w:rsidRDefault="00BE5684" w:rsidP="00BE5684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BE5684" w:rsidRDefault="00BE5684" w:rsidP="00BE5684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8B3383" w:rsidRDefault="008B3383">
      <w:bookmarkStart w:id="0" w:name="_GoBack"/>
      <w:bookmarkEnd w:id="0"/>
    </w:p>
    <w:sectPr w:rsidR="008B3383" w:rsidSect="00BE56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84"/>
    <w:rsid w:val="008B3383"/>
    <w:rsid w:val="00B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6292A-E220-4BCE-BAE3-BBF45ED1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5684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5684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E5684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BE5684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2023-04-20T10:59:00Z</dcterms:created>
  <dcterms:modified xsi:type="dcterms:W3CDTF">2023-04-20T10:59:00Z</dcterms:modified>
</cp:coreProperties>
</file>