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D188614" w14:textId="216BC260" w:rsidR="005C53CE" w:rsidRPr="00940A51" w:rsidRDefault="00A82AF8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40A51" w:rsidRPr="00940A51">
        <w:rPr>
          <w:rFonts w:ascii="GHEA Grapalat" w:hAnsi="GHEA Grapalat" w:cs="Sylfaen"/>
          <w:sz w:val="22"/>
          <w:szCs w:val="22"/>
          <w:lang w:val="af-ZA"/>
        </w:rPr>
        <w:t>«ԿԳ-ԿԿԹԿ-ԳՀԾՁԲ-37/25»</w:t>
      </w:r>
    </w:p>
    <w:p w14:paraId="3E0C9E96" w14:textId="77777777" w:rsidR="00940A51" w:rsidRDefault="00940A51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47D120C5" w:rsidR="005C53CE" w:rsidRPr="0059756B" w:rsidRDefault="00B31E45" w:rsidP="002442C5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«Կոտայքի և Գեղարքունիքի ԿԿԹԿ» ՍՊԸ-ն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853848" w:rsidRPr="00853848">
        <w:rPr>
          <w:rFonts w:ascii="GHEA Grapalat" w:hAnsi="GHEA Grapalat" w:cs="Sylfaen"/>
          <w:sz w:val="22"/>
          <w:szCs w:val="22"/>
          <w:lang w:val="af-ZA"/>
        </w:rPr>
        <w:t>Ապահովագրական ծառայություններ</w:t>
      </w:r>
      <w:r w:rsidR="00853848" w:rsidRPr="00853848">
        <w:rPr>
          <w:rFonts w:ascii="GHEA Grapalat" w:hAnsi="GHEA Grapalat" w:cs="Sylfaen"/>
          <w:sz w:val="22"/>
          <w:szCs w:val="22"/>
          <w:lang w:val="af-ZA"/>
        </w:rPr>
        <w:t>ի</w:t>
      </w:r>
      <w:r w:rsidR="00853848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940A51" w:rsidRPr="00940A51">
        <w:rPr>
          <w:rFonts w:ascii="GHEA Grapalat" w:hAnsi="GHEA Grapalat" w:cs="Sylfaen"/>
          <w:sz w:val="22"/>
          <w:szCs w:val="22"/>
          <w:lang w:val="af-ZA"/>
        </w:rPr>
        <w:t>«ԿԳ-ԿԿԹԿ-ԳՀԾՁԲ-37/25»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8F7981" w:rsidRPr="00853848">
        <w:rPr>
          <w:rFonts w:ascii="GHEA Grapalat" w:hAnsi="GHEA Grapalat" w:cs="Sylfaen"/>
          <w:sz w:val="22"/>
          <w:szCs w:val="22"/>
          <w:lang w:val="af-ZA"/>
        </w:rPr>
        <w:t>ը</w:t>
      </w: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31"/>
        <w:gridCol w:w="2713"/>
        <w:gridCol w:w="2434"/>
        <w:gridCol w:w="2012"/>
      </w:tblGrid>
      <w:tr w:rsidR="00A82AF8" w:rsidRPr="00853848" w14:paraId="490F87FD" w14:textId="77777777" w:rsidTr="001F746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0F893C63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731069F1" w:rsidR="005C53CE" w:rsidRPr="00B31E45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25BD87D3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853848" w14:paraId="0260467A" w14:textId="77777777" w:rsidTr="001F746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0CB1" w:rsidRPr="00853848" w14:paraId="44947C86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FC9108C" w:rsidR="00650CB1" w:rsidRPr="00E3403A" w:rsidRDefault="00940A51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BF331C4" w14:textId="35E1A2F1" w:rsidR="00650CB1" w:rsidRPr="005C53CE" w:rsidRDefault="00940A51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r w:rsidRPr="001066BD">
              <w:rPr>
                <w:rFonts w:ascii="GHEA Grapalat" w:hAnsi="GHEA Grapalat"/>
                <w:szCs w:val="24"/>
                <w:lang w:val="hy-AM"/>
              </w:rPr>
              <w:t>Ապահովագրական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650CB1" w:rsidRPr="000D0C32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FC9DF1F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50DDD8D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031D15E2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4DFD62A0" w:rsidR="00650CB1" w:rsidRPr="0059756B" w:rsidRDefault="00650CB1" w:rsidP="0059756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344641E" w:rsidR="00650CB1" w:rsidRPr="005C53CE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CA6C04C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940A51" w:rsidRPr="00940A51">
        <w:rPr>
          <w:rFonts w:ascii="GHEA Grapalat" w:hAnsi="GHEA Grapalat" w:cs="Sylfaen"/>
          <w:sz w:val="20"/>
          <w:lang w:val="af-ZA"/>
        </w:rPr>
        <w:t xml:space="preserve">«ԿԳ-ԿԿԹԿ-ԳՀԾՁԲ-37/25»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0BE28764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Sylfaen"/>
          <w:sz w:val="20"/>
          <w:lang w:val="af-ZA"/>
        </w:rPr>
        <w:t>«Կոտայքի և Գեղարքունիքի ԿԿԹԿ» ՍՊԸ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82AF" w14:textId="77777777" w:rsidR="0077668A" w:rsidRDefault="0077668A">
      <w:r>
        <w:separator/>
      </w:r>
    </w:p>
  </w:endnote>
  <w:endnote w:type="continuationSeparator" w:id="0">
    <w:p w14:paraId="2BB1E20F" w14:textId="77777777" w:rsidR="0077668A" w:rsidRDefault="0077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7668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7668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6340" w14:textId="77777777" w:rsidR="0077668A" w:rsidRDefault="0077668A">
      <w:r>
        <w:separator/>
      </w:r>
    </w:p>
  </w:footnote>
  <w:footnote w:type="continuationSeparator" w:id="0">
    <w:p w14:paraId="073A2F27" w14:textId="77777777" w:rsidR="0077668A" w:rsidRDefault="0077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47CDD"/>
    <w:rsid w:val="0077668A"/>
    <w:rsid w:val="00783CBC"/>
    <w:rsid w:val="0079612B"/>
    <w:rsid w:val="0081509E"/>
    <w:rsid w:val="00846B23"/>
    <w:rsid w:val="00853848"/>
    <w:rsid w:val="008F7981"/>
    <w:rsid w:val="00920251"/>
    <w:rsid w:val="00923DAF"/>
    <w:rsid w:val="00940A51"/>
    <w:rsid w:val="0097165A"/>
    <w:rsid w:val="00A31B64"/>
    <w:rsid w:val="00A82AF8"/>
    <w:rsid w:val="00AA01BA"/>
    <w:rsid w:val="00AD102E"/>
    <w:rsid w:val="00AF09BC"/>
    <w:rsid w:val="00B225DA"/>
    <w:rsid w:val="00B31E45"/>
    <w:rsid w:val="00B34ACE"/>
    <w:rsid w:val="00BF17A9"/>
    <w:rsid w:val="00BF2549"/>
    <w:rsid w:val="00C21AAB"/>
    <w:rsid w:val="00C37FDA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51</cp:revision>
  <dcterms:created xsi:type="dcterms:W3CDTF">2022-05-30T17:04:00Z</dcterms:created>
  <dcterms:modified xsi:type="dcterms:W3CDTF">2025-09-11T15:34:00Z</dcterms:modified>
</cp:coreProperties>
</file>