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2267EB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00542F" w:rsidRDefault="0000542F" w:rsidP="00E05B2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FF112C">
        <w:rPr>
          <w:rFonts w:ascii="GHEA Grapalat" w:hAnsi="GHEA Grapalat"/>
          <w:b/>
          <w:szCs w:val="24"/>
          <w:lang w:val="en-US"/>
        </w:rPr>
        <w:t>ANNOUNCEMENT</w:t>
      </w:r>
    </w:p>
    <w:p w:rsidR="0000542F" w:rsidRPr="00FF112C" w:rsidRDefault="0000542F" w:rsidP="00CF2D52">
      <w:pPr>
        <w:jc w:val="center"/>
        <w:rPr>
          <w:rFonts w:ascii="GHEA Grapalat" w:hAnsi="GHEA Grapalat"/>
          <w:b/>
          <w:szCs w:val="24"/>
          <w:lang w:val="en-US"/>
        </w:rPr>
      </w:pPr>
      <w:r w:rsidRPr="0000542F">
        <w:rPr>
          <w:rFonts w:ascii="GHEA Grapalat" w:hAnsi="GHEA Grapalat"/>
          <w:b/>
          <w:szCs w:val="24"/>
          <w:lang w:val="en-US"/>
        </w:rPr>
        <w:t xml:space="preserve">to declare the procurement procedure </w:t>
      </w:r>
      <w:r w:rsidR="0041197E">
        <w:rPr>
          <w:rFonts w:ascii="GHEA Grapalat" w:hAnsi="GHEA Grapalat"/>
          <w:b/>
          <w:szCs w:val="24"/>
          <w:lang w:val="en-US"/>
        </w:rPr>
        <w:t>failed with code</w:t>
      </w:r>
      <w:r w:rsidR="00EF6EC1" w:rsidRPr="00FF112C">
        <w:rPr>
          <w:rFonts w:ascii="GHEA Grapalat" w:hAnsi="GHEA Grapalat"/>
          <w:b/>
          <w:szCs w:val="24"/>
          <w:lang w:val="en-US"/>
        </w:rPr>
        <w:t xml:space="preserve"> </w:t>
      </w:r>
    </w:p>
    <w:p w:rsidR="0000542F" w:rsidRPr="005A1863" w:rsidRDefault="0041197E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PRA-GHTsDzB-2</w:t>
      </w:r>
      <w:r w:rsidR="000C5951">
        <w:rPr>
          <w:rFonts w:ascii="GHEA Grapalat" w:hAnsi="GHEA Grapalat"/>
          <w:sz w:val="24"/>
          <w:szCs w:val="24"/>
          <w:lang w:val="hy-AM"/>
        </w:rPr>
        <w:t>4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/0</w:t>
      </w:r>
      <w:r w:rsidR="005A1863">
        <w:rPr>
          <w:rFonts w:ascii="GHEA Grapalat" w:hAnsi="GHEA Grapalat"/>
          <w:sz w:val="24"/>
          <w:szCs w:val="24"/>
          <w:lang w:val="en-US"/>
        </w:rPr>
        <w:t>4</w:t>
      </w:r>
    </w:p>
    <w:p w:rsidR="0012540C" w:rsidRPr="00FF112C" w:rsidRDefault="0000542F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Calibri" w:hAnsi="Calibri" w:cs="Calibri"/>
          <w:b w:val="0"/>
          <w:sz w:val="22"/>
          <w:szCs w:val="22"/>
          <w:lang w:val="en-US" w:bidi="ar-SA"/>
        </w:rPr>
      </w:pP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Public Radio Company of Armenia </w:t>
      </w:r>
      <w:r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submits the following information on declaring the procurement procedure for the purchase of </w:t>
      </w:r>
      <w:r w:rsidR="000C5951" w:rsidRPr="000C5951">
        <w:rPr>
          <w:rFonts w:ascii="Calibri" w:hAnsi="Calibri" w:cs="Calibri"/>
          <w:b w:val="0"/>
          <w:sz w:val="22"/>
          <w:szCs w:val="22"/>
          <w:lang w:val="en-US" w:bidi="ar-SA"/>
        </w:rPr>
        <w:t>project preparation, cost estimation services</w:t>
      </w:r>
      <w:r w:rsidR="000C5951">
        <w:rPr>
          <w:rFonts w:ascii="Calibri" w:hAnsi="Calibri" w:cs="Calibri"/>
          <w:b w:val="0"/>
          <w:sz w:val="22"/>
          <w:szCs w:val="22"/>
          <w:lang w:val="hy-AM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for its needs under 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code </w:t>
      </w:r>
      <w:r w:rsidR="00FF112C" w:rsidRPr="00FF112C">
        <w:rPr>
          <w:rFonts w:ascii="Calibri" w:hAnsi="Calibri" w:cs="Calibri"/>
          <w:b w:val="0"/>
          <w:sz w:val="22"/>
          <w:szCs w:val="22"/>
          <w:lang w:val="en-US" w:bidi="ar-SA"/>
        </w:rPr>
        <w:t>PRA-GHTsDzB-2</w:t>
      </w:r>
      <w:r w:rsidR="000C5951">
        <w:rPr>
          <w:rFonts w:ascii="Calibri" w:hAnsi="Calibri" w:cs="Calibri"/>
          <w:b w:val="0"/>
          <w:sz w:val="22"/>
          <w:szCs w:val="22"/>
          <w:lang w:val="en-US" w:bidi="ar-SA"/>
        </w:rPr>
        <w:t>4</w:t>
      </w:r>
      <w:r w:rsidR="00FF112C" w:rsidRPr="00FF112C">
        <w:rPr>
          <w:rFonts w:ascii="Calibri" w:hAnsi="Calibri" w:cs="Calibri"/>
          <w:b w:val="0"/>
          <w:sz w:val="22"/>
          <w:szCs w:val="22"/>
          <w:lang w:val="en-US" w:bidi="ar-SA"/>
        </w:rPr>
        <w:t>/0</w:t>
      </w:r>
      <w:r w:rsidR="005A1863">
        <w:rPr>
          <w:rFonts w:ascii="Calibri" w:hAnsi="Calibri" w:cs="Calibri"/>
          <w:b w:val="0"/>
          <w:sz w:val="22"/>
          <w:szCs w:val="22"/>
          <w:lang w:val="en-US" w:bidi="ar-SA"/>
        </w:rPr>
        <w:t>4</w:t>
      </w:r>
      <w:r w:rsid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is failed.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0"/>
        <w:gridCol w:w="1863"/>
        <w:gridCol w:w="2657"/>
        <w:gridCol w:w="2412"/>
        <w:gridCol w:w="2103"/>
      </w:tblGrid>
      <w:tr w:rsidR="002267EB" w:rsidRPr="005A1863" w:rsidTr="009B7575">
        <w:trPr>
          <w:trHeight w:val="626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Number of lot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AAE" w:rsidRPr="002267EB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0542F">
              <w:rPr>
                <w:rFonts w:ascii="GHEA Grapalat" w:hAnsi="GHEA Grapalat"/>
                <w:b/>
                <w:sz w:val="20"/>
              </w:rPr>
              <w:t xml:space="preserve">brief description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5E0856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names of the participants in the procurement procedure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procurement procedure was not announced in accordance with Article 37, Part 1 of the RA Law on Procurement.</w:t>
            </w:r>
          </w:p>
          <w:p w:rsidR="00A72AAE" w:rsidRPr="002267EB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2267EB">
              <w:rPr>
                <w:rFonts w:ascii="GHEA Grapalat" w:hAnsi="GHEA Grapalat"/>
                <w:sz w:val="20"/>
              </w:rPr>
              <w:t>/</w:t>
            </w:r>
            <w:r w:rsidR="0000542F">
              <w:t xml:space="preserve"> </w:t>
            </w:r>
            <w:r w:rsidR="0000542F" w:rsidRPr="0000542F">
              <w:rPr>
                <w:rFonts w:ascii="GHEA Grapalat" w:hAnsi="GHEA Grapalat"/>
                <w:sz w:val="20"/>
              </w:rPr>
              <w:t xml:space="preserve">underline the corresponding line </w:t>
            </w:r>
            <w:r w:rsidRPr="002267E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Brief information on the justification for declaring the procurement procedure unsuccessful</w:t>
            </w:r>
          </w:p>
        </w:tc>
      </w:tr>
      <w:tr w:rsidR="002267EB" w:rsidRPr="0000542F" w:rsidTr="009B7575">
        <w:trPr>
          <w:trHeight w:val="654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DF4254" w:rsidRPr="002267EB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2267EB">
              <w:rPr>
                <w:rFonts w:ascii="GHEA Grapalat" w:hAnsi="GHEA Grapalat"/>
                <w:b/>
                <w:sz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</w:tcPr>
          <w:p w:rsidR="00DF4254" w:rsidRPr="00FF112C" w:rsidRDefault="000C5951" w:rsidP="00DF4254">
            <w:pPr>
              <w:rPr>
                <w:rFonts w:ascii="Sylfaen" w:hAnsi="Sylfaen"/>
                <w:lang w:val="en-US"/>
              </w:rPr>
            </w:pPr>
            <w:r w:rsidRPr="000C5951">
              <w:rPr>
                <w:rFonts w:ascii="Calibri" w:hAnsi="Calibri" w:cs="Calibri"/>
                <w:b/>
                <w:sz w:val="22"/>
                <w:szCs w:val="22"/>
                <w:lang w:val="en-US" w:bidi="ar-SA"/>
              </w:rPr>
              <w:t>project preparation, cost estimation services</w:t>
            </w:r>
          </w:p>
        </w:tc>
        <w:tc>
          <w:tcPr>
            <w:tcW w:w="2657" w:type="dxa"/>
            <w:shd w:val="clear" w:color="auto" w:fill="auto"/>
          </w:tcPr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DF4254" w:rsidRPr="0025580C" w:rsidRDefault="00E340D2" w:rsidP="00E340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4254" w:rsidRDefault="0000542F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1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2</w:t>
            </w:r>
          </w:p>
          <w:p w:rsidR="0000542F" w:rsidRP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  <w:lang w:val="en-US"/>
              </w:rPr>
            </w:pPr>
            <w:r w:rsidRPr="0000542F">
              <w:rPr>
                <w:rFonts w:ascii="GHEA Grapalat" w:hAnsi="GHEA Grapalat"/>
                <w:sz w:val="20"/>
                <w:u w:val="single"/>
                <w:lang w:val="en-US"/>
              </w:rPr>
              <w:t>Point 3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4</w:t>
            </w:r>
          </w:p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</w:tr>
    </w:tbl>
    <w:p w:rsidR="00410358" w:rsidRPr="00410358" w:rsidRDefault="00410358" w:rsidP="00410358">
      <w:pPr>
        <w:rPr>
          <w:rFonts w:ascii="Arial Armenian" w:hAnsi="Arial Armenian" w:cs="Calibri"/>
          <w:b/>
          <w:bCs/>
          <w:color w:val="000000"/>
          <w:sz w:val="20"/>
          <w:lang w:val="en-US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For more information related to this announcement, please contact </w:t>
      </w:r>
      <w:r w:rsidR="000C5951">
        <w:rPr>
          <w:rFonts w:ascii="Calibri" w:hAnsi="Calibri" w:cs="Calibri"/>
          <w:color w:val="000000"/>
          <w:sz w:val="22"/>
          <w:szCs w:val="22"/>
          <w:lang w:val="en-US" w:bidi="ar-SA"/>
        </w:rPr>
        <w:t>Kristine Darbinyan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, the secretary of Evaluation committee with the of  </w:t>
      </w:r>
      <w:r w:rsidR="00E340D2">
        <w:rPr>
          <w:rFonts w:ascii="Calibri" w:hAnsi="Calibri" w:cs="Calibri"/>
          <w:b/>
          <w:sz w:val="22"/>
          <w:szCs w:val="22"/>
          <w:lang w:val="en-US" w:bidi="ar-SA"/>
        </w:rPr>
        <w:t>PRA-GHTsDzB-2</w:t>
      </w:r>
      <w:r w:rsidR="000C5951">
        <w:rPr>
          <w:rFonts w:ascii="Calibri" w:hAnsi="Calibri" w:cs="Calibri"/>
          <w:b/>
          <w:sz w:val="22"/>
          <w:szCs w:val="22"/>
          <w:lang w:val="en-US" w:bidi="ar-SA"/>
        </w:rPr>
        <w:t>4</w:t>
      </w:r>
      <w:r w:rsidR="00FF112C" w:rsidRPr="00FF112C">
        <w:rPr>
          <w:rFonts w:ascii="Calibri" w:hAnsi="Calibri" w:cs="Calibri"/>
          <w:b/>
          <w:sz w:val="22"/>
          <w:szCs w:val="22"/>
          <w:lang w:val="en-US" w:bidi="ar-SA"/>
        </w:rPr>
        <w:t>/</w:t>
      </w:r>
      <w:r w:rsidR="00E340D2">
        <w:rPr>
          <w:rFonts w:ascii="Calibri" w:hAnsi="Calibri" w:cs="Calibri"/>
          <w:b/>
          <w:sz w:val="22"/>
          <w:szCs w:val="22"/>
          <w:lang w:val="en-US" w:bidi="ar-SA"/>
        </w:rPr>
        <w:t>0</w:t>
      </w:r>
      <w:r w:rsidR="005A1863">
        <w:rPr>
          <w:rFonts w:ascii="Calibri" w:hAnsi="Calibri" w:cs="Calibri"/>
          <w:b/>
          <w:sz w:val="22"/>
          <w:szCs w:val="22"/>
          <w:lang w:val="en-US" w:bidi="ar-SA"/>
        </w:rPr>
        <w:t>4</w:t>
      </w:r>
      <w:bookmarkStart w:id="0" w:name="_GoBack"/>
      <w:bookmarkEnd w:id="0"/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</w:p>
    <w:p w:rsidR="00324AC5" w:rsidRPr="00410358" w:rsidRDefault="00324AC5" w:rsidP="00324AC5">
      <w:pPr>
        <w:rPr>
          <w:rFonts w:ascii="Calibri" w:hAnsi="Calibri" w:cs="Calibri"/>
          <w:color w:val="FF0000"/>
          <w:sz w:val="22"/>
          <w:szCs w:val="22"/>
          <w:lang w:val="en-US" w:bidi="ar-SA"/>
        </w:rPr>
      </w:pP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Phone: 010-55-21-72/118</w:t>
      </w:r>
      <w:r w:rsidRPr="00410358">
        <w:rPr>
          <w:rFonts w:ascii="Tahoma" w:hAnsi="Tahoma" w:cs="Tahoma"/>
          <w:color w:val="000000"/>
          <w:sz w:val="22"/>
          <w:szCs w:val="22"/>
          <w:lang w:bidi="ar-SA"/>
        </w:rPr>
        <w:t>։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   Email: </w:t>
      </w:r>
      <w:r w:rsidR="000C5951">
        <w:rPr>
          <w:rFonts w:ascii="Calibri" w:hAnsi="Calibri" w:cs="Calibri"/>
          <w:color w:val="000000"/>
          <w:sz w:val="22"/>
          <w:szCs w:val="22"/>
          <w:lang w:val="en-US" w:bidi="ar-SA"/>
        </w:rPr>
        <w:t>c.darbinyan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@armradio.am</w:t>
      </w:r>
    </w:p>
    <w:p w:rsidR="00410358" w:rsidRPr="00410358" w:rsidRDefault="00410358" w:rsidP="00410358">
      <w:pPr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</w:pPr>
      <w:r w:rsidRPr="00410358"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  <w:t>Customer: Public Radio Company of Armenia CJSC</w:t>
      </w:r>
    </w:p>
    <w:p w:rsidR="0006419E" w:rsidRPr="00410358" w:rsidRDefault="0006419E" w:rsidP="00410358">
      <w:pPr>
        <w:ind w:left="720"/>
        <w:rPr>
          <w:rFonts w:ascii="GHEA Grapalat" w:hAnsi="GHEA Grapalat"/>
          <w:b/>
          <w:i/>
          <w:spacing w:val="6"/>
          <w:szCs w:val="24"/>
          <w:lang w:val="en-US"/>
        </w:rPr>
      </w:pPr>
    </w:p>
    <w:sectPr w:rsidR="0006419E" w:rsidRPr="00410358" w:rsidSect="00923104">
      <w:footerReference w:type="even" r:id="rId7"/>
      <w:footerReference w:type="default" r:id="rId8"/>
      <w:pgSz w:w="11906" w:h="16838"/>
      <w:pgMar w:top="72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754" w:rsidRDefault="00343754">
      <w:r>
        <w:separator/>
      </w:r>
    </w:p>
  </w:endnote>
  <w:endnote w:type="continuationSeparator" w:id="0">
    <w:p w:rsidR="00343754" w:rsidRDefault="0034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30256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49A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754" w:rsidRDefault="00343754">
      <w:r>
        <w:separator/>
      </w:r>
    </w:p>
  </w:footnote>
  <w:footnote w:type="continuationSeparator" w:id="0">
    <w:p w:rsidR="00343754" w:rsidRDefault="00343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542F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5951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4591"/>
    <w:rsid w:val="00180617"/>
    <w:rsid w:val="00185136"/>
    <w:rsid w:val="001860C6"/>
    <w:rsid w:val="0019719D"/>
    <w:rsid w:val="001A12F6"/>
    <w:rsid w:val="001A2642"/>
    <w:rsid w:val="001A64A3"/>
    <w:rsid w:val="001B0C0E"/>
    <w:rsid w:val="001B33E6"/>
    <w:rsid w:val="001C13FF"/>
    <w:rsid w:val="001C220F"/>
    <w:rsid w:val="001C4343"/>
    <w:rsid w:val="001C49A3"/>
    <w:rsid w:val="001C521B"/>
    <w:rsid w:val="001C578F"/>
    <w:rsid w:val="001F5BAF"/>
    <w:rsid w:val="00205535"/>
    <w:rsid w:val="002137CA"/>
    <w:rsid w:val="0022406C"/>
    <w:rsid w:val="00225325"/>
    <w:rsid w:val="002267EB"/>
    <w:rsid w:val="00226F64"/>
    <w:rsid w:val="00237045"/>
    <w:rsid w:val="00237D02"/>
    <w:rsid w:val="00245FAF"/>
    <w:rsid w:val="0025580C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AC5"/>
    <w:rsid w:val="00333286"/>
    <w:rsid w:val="00334DDE"/>
    <w:rsid w:val="00335F28"/>
    <w:rsid w:val="00341CA5"/>
    <w:rsid w:val="00343754"/>
    <w:rsid w:val="00345C5A"/>
    <w:rsid w:val="0036287B"/>
    <w:rsid w:val="003654FE"/>
    <w:rsid w:val="00366B43"/>
    <w:rsid w:val="0036794B"/>
    <w:rsid w:val="00371424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511C"/>
    <w:rsid w:val="00410358"/>
    <w:rsid w:val="0041197E"/>
    <w:rsid w:val="0043269D"/>
    <w:rsid w:val="004345B3"/>
    <w:rsid w:val="00441E90"/>
    <w:rsid w:val="00454284"/>
    <w:rsid w:val="00467A9D"/>
    <w:rsid w:val="00473936"/>
    <w:rsid w:val="004755F4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1863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35786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4267"/>
    <w:rsid w:val="007053EC"/>
    <w:rsid w:val="0071112C"/>
    <w:rsid w:val="00712A17"/>
    <w:rsid w:val="00717888"/>
    <w:rsid w:val="00722C9C"/>
    <w:rsid w:val="0072338F"/>
    <w:rsid w:val="00727604"/>
    <w:rsid w:val="007430B8"/>
    <w:rsid w:val="00743D8B"/>
    <w:rsid w:val="007443A1"/>
    <w:rsid w:val="007513A1"/>
    <w:rsid w:val="007522FA"/>
    <w:rsid w:val="00754D3A"/>
    <w:rsid w:val="0075655D"/>
    <w:rsid w:val="00760AA2"/>
    <w:rsid w:val="00765F01"/>
    <w:rsid w:val="007678D5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3E6"/>
    <w:rsid w:val="00805D1B"/>
    <w:rsid w:val="00823294"/>
    <w:rsid w:val="0085228E"/>
    <w:rsid w:val="0087156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104"/>
    <w:rsid w:val="0092549D"/>
    <w:rsid w:val="009337B2"/>
    <w:rsid w:val="009507AF"/>
    <w:rsid w:val="00960BDD"/>
    <w:rsid w:val="00961074"/>
    <w:rsid w:val="00963C65"/>
    <w:rsid w:val="009706C8"/>
    <w:rsid w:val="0097481D"/>
    <w:rsid w:val="00975599"/>
    <w:rsid w:val="00984CEA"/>
    <w:rsid w:val="00991813"/>
    <w:rsid w:val="0099697A"/>
    <w:rsid w:val="009B63BC"/>
    <w:rsid w:val="009B7575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081A"/>
    <w:rsid w:val="00B16C9D"/>
    <w:rsid w:val="00B2138A"/>
    <w:rsid w:val="00B21464"/>
    <w:rsid w:val="00B21822"/>
    <w:rsid w:val="00B25368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BF44F4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C0B"/>
    <w:rsid w:val="00CE2FA4"/>
    <w:rsid w:val="00CE5335"/>
    <w:rsid w:val="00CE5FD6"/>
    <w:rsid w:val="00CE77EE"/>
    <w:rsid w:val="00CF2D52"/>
    <w:rsid w:val="00CF595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19D2"/>
    <w:rsid w:val="00D405E4"/>
    <w:rsid w:val="00D52421"/>
    <w:rsid w:val="00D55898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4254"/>
    <w:rsid w:val="00E05B2C"/>
    <w:rsid w:val="00E14174"/>
    <w:rsid w:val="00E24AA7"/>
    <w:rsid w:val="00E24D9F"/>
    <w:rsid w:val="00E340D2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685A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299C"/>
    <w:rsid w:val="00EF47D3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75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12C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E7BE2B4-D45A-4417-85C2-04C29BC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52</cp:revision>
  <cp:lastPrinted>2024-07-02T08:04:00Z</cp:lastPrinted>
  <dcterms:created xsi:type="dcterms:W3CDTF">2018-08-08T07:11:00Z</dcterms:created>
  <dcterms:modified xsi:type="dcterms:W3CDTF">2024-07-15T05:58:00Z</dcterms:modified>
</cp:coreProperties>
</file>