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06B0BC81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A26C7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0068E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3C681F">
        <w:rPr>
          <w:rFonts w:ascii="GHEA Grapalat" w:hAnsi="GHEA Grapalat"/>
          <w:b w:val="0"/>
          <w:sz w:val="20"/>
          <w:lang w:val="hy-AM"/>
        </w:rPr>
        <w:t>31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4361BCA1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ԱՄԱՀ-</w:t>
      </w:r>
      <w:r w:rsidR="0040068E">
        <w:rPr>
          <w:rFonts w:ascii="GHEA Grapalat" w:hAnsi="GHEA Grapalat"/>
          <w:b w:val="0"/>
          <w:sz w:val="20"/>
          <w:lang w:val="hy-AM"/>
        </w:rPr>
        <w:t>ԲՄ</w:t>
      </w:r>
      <w:r w:rsidR="00A26C7F">
        <w:rPr>
          <w:rFonts w:ascii="GHEA Grapalat" w:hAnsi="GHEA Grapalat"/>
          <w:b w:val="0"/>
          <w:sz w:val="20"/>
          <w:lang w:val="hy-AM"/>
        </w:rPr>
        <w:t>ԾՁԲ-26/</w:t>
      </w:r>
      <w:r w:rsidR="003C681F">
        <w:rPr>
          <w:rFonts w:ascii="GHEA Grapalat" w:hAnsi="GHEA Grapalat"/>
          <w:b w:val="0"/>
          <w:sz w:val="20"/>
          <w:lang w:val="hy-AM"/>
        </w:rPr>
        <w:t>51</w:t>
      </w:r>
    </w:p>
    <w:p w14:paraId="2E1AAADA" w14:textId="77777777" w:rsidR="00C650F6" w:rsidRPr="00C650F6" w:rsidRDefault="00C650F6" w:rsidP="00A26C7F">
      <w:pPr>
        <w:jc w:val="both"/>
        <w:rPr>
          <w:lang w:val="hy-AM" w:eastAsia="ru-RU"/>
        </w:rPr>
      </w:pPr>
    </w:p>
    <w:p w14:paraId="2775D0F1" w14:textId="69B6B9CB" w:rsidR="00B162BB" w:rsidRPr="00BC558D" w:rsidRDefault="00B162BB" w:rsidP="00A26C7F">
      <w:pPr>
        <w:pStyle w:val="3"/>
        <w:ind w:firstLine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C558D">
        <w:rPr>
          <w:rFonts w:ascii="GHEA Grapalat" w:hAnsi="GHEA Grapalat" w:cs="Sylfaen"/>
          <w:sz w:val="22"/>
          <w:szCs w:val="22"/>
          <w:lang w:val="hy-AM"/>
        </w:rPr>
        <w:t xml:space="preserve">Արտաշատի համայնքապետարանի </w:t>
      </w:r>
      <w:r w:rsidRPr="00BC558D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BC558D">
        <w:rPr>
          <w:rFonts w:ascii="GHEA Grapalat" w:hAnsi="GHEA Grapalat" w:cs="Sylfaen"/>
          <w:sz w:val="22"/>
          <w:szCs w:val="22"/>
          <w:lang w:val="af-ZA"/>
        </w:rPr>
        <w:t xml:space="preserve">կարիքների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շենքերի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,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շինությունների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տեխնիկական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վիճակի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և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սեյսմիկ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խոցելիության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աստիճանի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>գնահատման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 xml:space="preserve">ծառայությունների </w:t>
      </w:r>
      <w:r w:rsidR="00BC558D" w:rsidRPr="00BC558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558D" w:rsidRPr="00BC558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26C7F" w:rsidRPr="00BC558D">
        <w:rPr>
          <w:rFonts w:ascii="GHEA Grapalat" w:hAnsi="GHEA Grapalat" w:cs="Sylfaen"/>
          <w:sz w:val="22"/>
          <w:szCs w:val="22"/>
          <w:lang w:val="hy-AM"/>
        </w:rPr>
        <w:t xml:space="preserve"> ծառայությունների ձեռքբերման նպատակով</w:t>
      </w:r>
      <w:r w:rsidRPr="00BC558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24CC8" w:rsidRPr="00BC558D">
        <w:rPr>
          <w:rFonts w:ascii="GHEA Grapalat" w:hAnsi="GHEA Grapalat" w:cs="Sylfaen"/>
          <w:sz w:val="22"/>
          <w:szCs w:val="22"/>
          <w:lang w:val="hy-AM"/>
        </w:rPr>
        <w:t>կ</w:t>
      </w:r>
      <w:r w:rsidRPr="00BC558D">
        <w:rPr>
          <w:rFonts w:ascii="GHEA Grapalat" w:hAnsi="GHEA Grapalat" w:cs="Sylfaen"/>
          <w:sz w:val="22"/>
          <w:szCs w:val="22"/>
          <w:lang w:val="af-ZA"/>
        </w:rPr>
        <w:t xml:space="preserve">ազմակերպված </w:t>
      </w:r>
      <w:r w:rsidR="003C681F" w:rsidRPr="00BC558D">
        <w:rPr>
          <w:rFonts w:ascii="GHEA Grapalat" w:hAnsi="GHEA Grapalat"/>
          <w:b w:val="0"/>
          <w:sz w:val="22"/>
          <w:szCs w:val="22"/>
          <w:lang w:val="hy-AM"/>
        </w:rPr>
        <w:t xml:space="preserve">ԱՄԱՀ-ԲՄԾՁԲ-26/51  </w:t>
      </w:r>
      <w:r w:rsidRPr="00BC558D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3C681F" w:rsidRPr="00BC558D">
        <w:rPr>
          <w:rFonts w:ascii="GHEA Grapalat" w:hAnsi="GHEA Grapalat" w:cs="Sylfaen"/>
          <w:sz w:val="22"/>
          <w:szCs w:val="22"/>
          <w:lang w:val="hy-AM"/>
        </w:rPr>
        <w:t>31</w:t>
      </w:r>
      <w:r w:rsidR="0040068E" w:rsidRPr="00BC558D">
        <w:rPr>
          <w:rFonts w:ascii="GHEA Grapalat" w:hAnsi="GHEA Grapalat" w:cs="Sylfaen"/>
          <w:sz w:val="22"/>
          <w:szCs w:val="22"/>
          <w:lang w:val="hy-AM"/>
        </w:rPr>
        <w:t>.03</w:t>
      </w:r>
      <w:r w:rsidRPr="00BC558D">
        <w:rPr>
          <w:rFonts w:ascii="GHEA Grapalat" w:hAnsi="GHEA Grapalat" w:cs="Sylfaen"/>
          <w:sz w:val="22"/>
          <w:szCs w:val="22"/>
          <w:lang w:val="hy-AM"/>
        </w:rPr>
        <w:t>.202</w:t>
      </w:r>
      <w:r w:rsidR="00A26C7F" w:rsidRPr="00BC558D">
        <w:rPr>
          <w:rFonts w:ascii="GHEA Grapalat" w:hAnsi="GHEA Grapalat" w:cs="Sylfaen"/>
          <w:sz w:val="22"/>
          <w:szCs w:val="22"/>
          <w:lang w:val="hy-AM"/>
        </w:rPr>
        <w:t>6</w:t>
      </w:r>
      <w:r w:rsidRPr="00BC558D">
        <w:rPr>
          <w:rFonts w:ascii="GHEA Grapalat" w:hAnsi="GHEA Grapalat" w:cs="Sylfaen"/>
          <w:sz w:val="22"/>
          <w:szCs w:val="22"/>
          <w:lang w:val="hy-AM"/>
        </w:rPr>
        <w:t xml:space="preserve">թ </w:t>
      </w:r>
      <w:r w:rsidRPr="00BC558D">
        <w:rPr>
          <w:rFonts w:ascii="GHEA Grapalat" w:hAnsi="GHEA Grapalat" w:cs="Sylfaen"/>
          <w:sz w:val="22"/>
          <w:szCs w:val="22"/>
          <w:lang w:val="af-ZA"/>
        </w:rPr>
        <w:t xml:space="preserve">. ստացված հարցադրումը և դրա վերաբերյալ </w:t>
      </w:r>
      <w:r w:rsidR="003C681F" w:rsidRPr="00BC558D">
        <w:rPr>
          <w:rFonts w:ascii="GHEA Grapalat" w:hAnsi="GHEA Grapalat" w:cs="Sylfaen"/>
          <w:sz w:val="22"/>
          <w:szCs w:val="22"/>
          <w:lang w:val="hy-AM"/>
        </w:rPr>
        <w:t>31</w:t>
      </w:r>
      <w:r w:rsidR="0040068E" w:rsidRPr="00BC558D">
        <w:rPr>
          <w:rFonts w:ascii="GHEA Grapalat" w:hAnsi="GHEA Grapalat" w:cs="Sylfaen"/>
          <w:sz w:val="22"/>
          <w:szCs w:val="22"/>
          <w:lang w:val="hy-AM"/>
        </w:rPr>
        <w:t>.03</w:t>
      </w:r>
      <w:r w:rsidRPr="00BC558D">
        <w:rPr>
          <w:rFonts w:ascii="GHEA Grapalat" w:hAnsi="GHEA Grapalat" w:cs="Sylfaen"/>
          <w:sz w:val="22"/>
          <w:szCs w:val="22"/>
          <w:lang w:val="hy-AM"/>
        </w:rPr>
        <w:t>.202</w:t>
      </w:r>
      <w:r w:rsidR="00A26C7F" w:rsidRPr="00BC558D">
        <w:rPr>
          <w:rFonts w:ascii="GHEA Grapalat" w:hAnsi="GHEA Grapalat" w:cs="Sylfaen"/>
          <w:sz w:val="22"/>
          <w:szCs w:val="22"/>
          <w:lang w:val="hy-AM"/>
        </w:rPr>
        <w:t>6</w:t>
      </w:r>
      <w:r w:rsidRPr="00BC558D">
        <w:rPr>
          <w:rFonts w:ascii="GHEA Grapalat" w:hAnsi="GHEA Grapalat" w:cs="Sylfaen"/>
          <w:sz w:val="22"/>
          <w:szCs w:val="22"/>
          <w:lang w:val="hy-AM"/>
        </w:rPr>
        <w:t>թ</w:t>
      </w:r>
      <w:r w:rsidRPr="00BC558D">
        <w:rPr>
          <w:rFonts w:ascii="GHEA Grapalat" w:hAnsi="GHEA Grapalat" w:cs="Sylfaen"/>
          <w:sz w:val="22"/>
          <w:szCs w:val="22"/>
          <w:lang w:val="af-ZA"/>
        </w:rPr>
        <w:t xml:space="preserve"> տրամադրված պարզաբանումը`</w:t>
      </w:r>
    </w:p>
    <w:p w14:paraId="62054E06" w14:textId="5356EDA4" w:rsidR="00B162BB" w:rsidRPr="003C681F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  <w:r w:rsidR="003C681F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</w:p>
    <w:p w14:paraId="008F1739" w14:textId="77777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4282AAD2" w14:textId="12A50436" w:rsidR="0040068E" w:rsidRDefault="003C681F" w:rsidP="0040068E">
      <w:pPr>
        <w:shd w:val="clear" w:color="auto" w:fill="FFFFFF"/>
        <w:jc w:val="both"/>
        <w:rPr>
          <w:lang w:val="hy-AM"/>
        </w:rPr>
      </w:pPr>
      <w:r w:rsidRPr="003C681F">
        <w:rPr>
          <w:lang w:val="hy-AM"/>
        </w:rPr>
        <w:t>Մակերեսնների հաշվարկը կատարվելու է շենքը ընդհանուր մակերեսով թե հիմնատակի մակերեսով</w:t>
      </w:r>
    </w:p>
    <w:p w14:paraId="3910A072" w14:textId="48E79FBE" w:rsidR="00B162BB" w:rsidRPr="00B162BB" w:rsidRDefault="00B162BB" w:rsidP="0040068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  <w:r w:rsidR="003C681F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</w:p>
    <w:p w14:paraId="7AAB2063" w14:textId="77777777" w:rsidR="003C681F" w:rsidRDefault="003C681F" w:rsidP="003C681F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Արտաշատի համայնքապետարանի կարքիների համար հայտարարված </w:t>
      </w:r>
      <w:r w:rsidRPr="00D37615">
        <w:rPr>
          <w:lang w:val="hy-AM"/>
        </w:rPr>
        <w:t xml:space="preserve">ԱՄԱՀ-ԲՄԾՁԲ-26/51   </w:t>
      </w:r>
      <w:r>
        <w:rPr>
          <w:lang w:val="hy-AM"/>
        </w:rPr>
        <w:t>ծածկագրով բաց մրցույթի հրավերի տեխնիկական բնութագրով սահմանված է ՝</w:t>
      </w:r>
    </w:p>
    <w:p w14:paraId="1BB9BAE0" w14:textId="77777777" w:rsidR="003C681F" w:rsidRDefault="003C681F" w:rsidP="003C681F">
      <w:pPr>
        <w:spacing w:after="0"/>
        <w:ind w:firstLine="709"/>
        <w:jc w:val="both"/>
        <w:rPr>
          <w:lang w:val="hy-AM"/>
        </w:rPr>
      </w:pPr>
      <w:r w:rsidRPr="00D37615">
        <w:rPr>
          <w:lang w:val="hy-AM"/>
        </w:rPr>
        <w:t>Բազմաբնակարան, ինչպես նաև 1-ից ավել հարկայնությամբ, շենք շինությունների  տեխնիկական վիճակի հետազննություն և գնահատում իրականացնելիս անհրաժեշտ է  ուսումնասիրություն իրականացնել յուրաքանչյուր հարկում և տանիքում, իսկ որպես վճարման ենթակա մակերես հաշվաարկվելու է շենքի առաջին հարկի հատակագծի մակերեսը</w:t>
      </w:r>
    </w:p>
    <w:p w14:paraId="06806999" w14:textId="77777777" w:rsidR="003C681F" w:rsidRPr="00D37615" w:rsidRDefault="003C681F" w:rsidP="003C681F">
      <w:pPr>
        <w:rPr>
          <w:lang w:val="hy-AM"/>
        </w:rPr>
      </w:pPr>
      <w:r>
        <w:rPr>
          <w:lang w:val="hy-AM"/>
        </w:rPr>
        <w:t xml:space="preserve">Ելնելով վերագրյալից </w:t>
      </w:r>
      <w:r w:rsidRPr="00D37615">
        <w:rPr>
          <w:lang w:val="hy-AM"/>
        </w:rPr>
        <w:t>որպես վճարման ենթակա մակերես հաշվաարկվելու է շենքի առաջին հարկի հատակագծի մակերեսը։</w:t>
      </w:r>
    </w:p>
    <w:p w14:paraId="271BB16D" w14:textId="33A8321B" w:rsidR="003C681F" w:rsidRPr="003C681F" w:rsidRDefault="003C681F" w:rsidP="003C681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2</w:t>
      </w:r>
    </w:p>
    <w:p w14:paraId="6C726E59" w14:textId="77777777" w:rsidR="003C681F" w:rsidRDefault="003C681F" w:rsidP="003C681F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1F2029A0" w14:textId="77777777" w:rsidR="003C681F" w:rsidRPr="003C681F" w:rsidRDefault="003C681F" w:rsidP="003C681F">
      <w:pPr>
        <w:rPr>
          <w:lang w:val="hy-AM"/>
        </w:rPr>
      </w:pPr>
      <w:r w:rsidRPr="003C681F">
        <w:rPr>
          <w:lang w:val="hy-AM"/>
        </w:rPr>
        <w:t>ԱՄԱՀ-ԲՄԾՁԲ-26/51 ծածկագրով  ընդացակարգի  հրավերի 1.1 կետով սահմանված է գնման գինը 6 000 000 ՀՀ դրամ, իսկ մեկ միավորի գինը 145 ՀՀ դրամ, սակայն հրավերով սահմանված չէ թե ինչ ձևաչափով  է հաշվարկվելու մակերեսը, շենքերի և  շինությունների ընդհանուր արտաքին թե ներքին մակերեսով,   գնի հաշվարկի մեջ ներառվելու են  նկուղնների և տանիքների մակերեսնները:</w:t>
      </w:r>
    </w:p>
    <w:p w14:paraId="0D712D85" w14:textId="2FE998F9" w:rsidR="003C681F" w:rsidRPr="00B162BB" w:rsidRDefault="003C681F" w:rsidP="003C681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2</w:t>
      </w:r>
    </w:p>
    <w:p w14:paraId="49EC037C" w14:textId="77777777" w:rsidR="003C681F" w:rsidRDefault="003C681F" w:rsidP="003C681F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lastRenderedPageBreak/>
        <w:t xml:space="preserve">Արտաշատի համայնքապետարանի կարքիների համար հայտարարված </w:t>
      </w:r>
      <w:r w:rsidRPr="00D37615">
        <w:rPr>
          <w:lang w:val="hy-AM"/>
        </w:rPr>
        <w:t xml:space="preserve">ԱՄԱՀ-ԲՄԾՁԲ-26/51   </w:t>
      </w:r>
      <w:r>
        <w:rPr>
          <w:lang w:val="hy-AM"/>
        </w:rPr>
        <w:t>ծածկագրով բաց մրցույթի հրավերի տեխնիկական բնութագրով սահմանված է ՝</w:t>
      </w:r>
    </w:p>
    <w:p w14:paraId="7E4E806A" w14:textId="77777777" w:rsidR="003C681F" w:rsidRDefault="003C681F" w:rsidP="003C681F">
      <w:pPr>
        <w:spacing w:after="0"/>
        <w:ind w:firstLine="709"/>
        <w:jc w:val="both"/>
        <w:rPr>
          <w:lang w:val="hy-AM"/>
        </w:rPr>
      </w:pPr>
      <w:r w:rsidRPr="00D37615">
        <w:rPr>
          <w:lang w:val="hy-AM"/>
        </w:rPr>
        <w:t>Բազմաբնակարան, ինչպես նաև 1-ից ավել հարկայնությամբ, շենք շինությունների  տեխնիկական վիճակի հետազննություն և գնահատում իրականացնելիս անհրաժեշտ է  ուսումնասիրություն իրականացնել յուրաքանչյուր հարկում և տանիքում, իսկ որպես վճարման ենթակա մակերես հաշվաարկվելու է շենքի առաջին հարկի հատակագծի մակերեսը</w:t>
      </w:r>
    </w:p>
    <w:p w14:paraId="24A15094" w14:textId="77777777" w:rsidR="003C681F" w:rsidRPr="00D37615" w:rsidRDefault="003C681F" w:rsidP="003C681F">
      <w:pPr>
        <w:rPr>
          <w:lang w:val="hy-AM"/>
        </w:rPr>
      </w:pPr>
      <w:r>
        <w:rPr>
          <w:lang w:val="hy-AM"/>
        </w:rPr>
        <w:t xml:space="preserve">Ելնելով վերագրյալից </w:t>
      </w:r>
      <w:r w:rsidRPr="00D37615">
        <w:rPr>
          <w:lang w:val="hy-AM"/>
        </w:rPr>
        <w:t>որպես վճարման ենթակա մակերես հաշվաարկվելու է շենքի առաջին հարկի հատակագծի մակերեսը։</w:t>
      </w:r>
    </w:p>
    <w:p w14:paraId="00971B1E" w14:textId="77777777" w:rsidR="003C681F" w:rsidRDefault="003C681F" w:rsidP="00B162BB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14:paraId="3127E4CA" w14:textId="075FC862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C681F">
        <w:rPr>
          <w:rFonts w:ascii="GHEA Grapalat" w:hAnsi="GHEA Grapalat"/>
          <w:sz w:val="20"/>
          <w:lang w:val="hy-AM"/>
        </w:rPr>
        <w:t>ԱՄԱՀ-ԲՄԾՁԲ-26/</w:t>
      </w:r>
      <w:r w:rsidR="003C681F">
        <w:rPr>
          <w:rFonts w:ascii="GHEA Grapalat" w:hAnsi="GHEA Grapalat"/>
          <w:b/>
          <w:sz w:val="20"/>
          <w:lang w:val="hy-AM"/>
        </w:rPr>
        <w:t xml:space="preserve">51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5C913CC1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F41411">
        <w:rPr>
          <w:rFonts w:ascii="GHEA Grapalat" w:hAnsi="GHEA Grapalat"/>
          <w:u w:val="single"/>
          <w:lang w:val="hy-AM"/>
        </w:rPr>
        <w:t>0235-2-36-39</w:t>
      </w:r>
    </w:p>
    <w:p w14:paraId="673A5CE5" w14:textId="76B152DB" w:rsidR="00B162BB" w:rsidRDefault="00B162BB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0BC49313" w14:textId="1AE0F5F2" w:rsidR="0040068E" w:rsidRDefault="0040068E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43481264" w14:textId="3EF65920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0BC5EF74" w14:textId="437FEBEA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1D8A4162" w14:textId="5BFB0A1E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48BFFF9C" w14:textId="08BDCDEE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7491D729" w14:textId="19F82679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5FE8BD0E" w14:textId="7EA9BEC3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510848A2" w14:textId="45D74A30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6F45FD62" w14:textId="6B1692A8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5C053330" w14:textId="4E899187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0EA0C0C3" w14:textId="480FAEB7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1CAE6CF6" w14:textId="6A96E1F8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3967E7AC" w14:textId="622F7FA2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53405500" w14:textId="6609B119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1CDBEC98" w14:textId="3C1034E6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54CA1F70" w14:textId="6924FB41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4AC7D836" w14:textId="6FBE6329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75EF0A09" w14:textId="6E60FC12" w:rsidR="00BC558D" w:rsidRDefault="00BC558D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1289B356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lastRenderedPageBreak/>
        <w:t>ОБЪЯВЛЕНИЕ</w:t>
      </w:r>
    </w:p>
    <w:p w14:paraId="47B1928E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О разъяснении условий приглашения</w:t>
      </w:r>
    </w:p>
    <w:p w14:paraId="025020CA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570698A2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Настоящий текст объявления утвержден решением оценочной комиссии</w:t>
      </w:r>
    </w:p>
    <w:p w14:paraId="331A61FC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от 31 марта 2026 г. № 1 и публикуется</w:t>
      </w:r>
    </w:p>
    <w:p w14:paraId="162DD6F1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в соответствии со статьей 40 Закона РА «О закупках»</w:t>
      </w:r>
    </w:p>
    <w:p w14:paraId="779B9F95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284614A3" w14:textId="32AAE3BA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 xml:space="preserve">Код процедуры </w:t>
      </w:r>
      <w:r w:rsidRPr="00BC558D">
        <w:rPr>
          <w:rFonts w:ascii="GHEA Grapalat" w:hAnsi="GHEA Grapalat"/>
          <w:sz w:val="20"/>
          <w:lang w:val="hy-AM"/>
        </w:rPr>
        <w:t>ԱՄԱՀ-ԲՄԾՁԲ-26/</w:t>
      </w:r>
      <w:r w:rsidRPr="00BC558D">
        <w:rPr>
          <w:rFonts w:ascii="GHEA Grapalat" w:hAnsi="GHEA Grapalat"/>
          <w:b/>
          <w:sz w:val="20"/>
          <w:lang w:val="hy-AM"/>
        </w:rPr>
        <w:t>51</w:t>
      </w:r>
    </w:p>
    <w:p w14:paraId="23926E49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79280292" w14:textId="77777777" w:rsidR="00BC558D" w:rsidRPr="00BC558D" w:rsidRDefault="00BC558D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Оценочная комиссия процедуры закупок по коду АМАХ-БМДДЗБ-26/51, организованной в целях приобретения услуг по оценке технического состояния и сейсмической уязвимости зданий и сооружений, необходимых муниципалитету Арташата, представляет ниже вопрос, полученный 31.03.2026, относительно приглашения к участию в тендере по данному коду и разъяснения, предоставленного 31.03.2026:</w:t>
      </w:r>
    </w:p>
    <w:p w14:paraId="10603ADB" w14:textId="382EDED9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Вопрос 1</w:t>
      </w:r>
    </w:p>
    <w:p w14:paraId="56BE9503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Уважаемый коллега, пожалуйста, уточните:</w:t>
      </w:r>
    </w:p>
    <w:p w14:paraId="6867696E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Будет ли расчет площадей производиться по общей площади здания или по площади фундамента?</w:t>
      </w:r>
    </w:p>
    <w:p w14:paraId="62449CE4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Разъяснение: 1</w:t>
      </w:r>
    </w:p>
    <w:p w14:paraId="7D43C14C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В технических условиях открытого тендера с кодом АМАХ-БМТДБ-26/51, объявленного для нужд муниципалитета Арташат, определены следующие положения:</w:t>
      </w:r>
    </w:p>
    <w:p w14:paraId="2B5B8516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При проведении обследования и оценки технического состояния многоквартирных домов, а также зданий с более чем 1 этажом, необходимо проводить обследование каждого этажа и крыши, при этом площадь первого этажа здания будет рассчитываться как площадь, подлежащая оплате.</w:t>
      </w:r>
    </w:p>
    <w:p w14:paraId="710D55DC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Исходя из вышеизложенного, площадь первого этажа здания будет рассчитываться как площадь, подлежащая оплате.</w:t>
      </w:r>
    </w:p>
    <w:p w14:paraId="27A3D3F5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53071B5F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Вопрос 2</w:t>
      </w:r>
    </w:p>
    <w:p w14:paraId="52B1DC49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Уважаемый коллега, пожалуйста, уточните:</w:t>
      </w:r>
    </w:p>
    <w:p w14:paraId="0C5CAF05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В пункте 1.1 приглашения к участию в тендере на процедуру с кодом АМАХ-БМТДБ-26/51 установлена ​​закупочная цена в размере 6 000 000 драмов, а цена за единицу — 145 драмов, однако в приглашении не указано, в каком формате будет рассчитываться площадь, общая внешняя или внутренняя площадь зданий и сооружений, а также будут ли в расчет цены включены площади подвалов и крыш.</w:t>
      </w:r>
    </w:p>
    <w:p w14:paraId="5AB305C4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20F11DD3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Уточнение: 2</w:t>
      </w:r>
    </w:p>
    <w:p w14:paraId="5D11F786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Технические условия открытого тендера под кодом АМАХ-БМДЗБ-26/51, объявленного для нужд муниципалитета Арташат, определяют:</w:t>
      </w:r>
    </w:p>
    <w:p w14:paraId="1551C1A6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При проведении обследования и оценки технического состояния многоквартирных домов, а также зданий с более чем 1 этажом, необходимо проводить обследование каждого этажа и крыши, при этом площадь первого этажа здания будет рассчитываться как площадь, подлежащая оплате.</w:t>
      </w:r>
    </w:p>
    <w:p w14:paraId="7C7EBB58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Исходя из вышеизложенного, площадь первого этажа здания будет рассчитываться как площадь, подлежащая оплате.</w:t>
      </w:r>
    </w:p>
    <w:p w14:paraId="24E60818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</w:p>
    <w:p w14:paraId="27D15491" w14:textId="657265D6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 xml:space="preserve">За дополнительной информацией по данному объявлению обращайтесь к секретарю оценочной комиссии под кодом </w:t>
      </w:r>
      <w:r w:rsidRPr="00BC558D">
        <w:rPr>
          <w:rFonts w:ascii="GHEA Grapalat" w:hAnsi="GHEA Grapalat"/>
          <w:sz w:val="20"/>
          <w:lang w:val="hy-AM"/>
        </w:rPr>
        <w:t>ԱՄԱՀ-ԲՄԾՁԲ-26/</w:t>
      </w:r>
      <w:r w:rsidRPr="00BC558D">
        <w:rPr>
          <w:rFonts w:ascii="GHEA Grapalat" w:hAnsi="GHEA Grapalat"/>
          <w:b/>
          <w:sz w:val="20"/>
          <w:lang w:val="hy-AM"/>
        </w:rPr>
        <w:t xml:space="preserve">51 </w:t>
      </w: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, М. Гегамяну.</w:t>
      </w:r>
    </w:p>
    <w:p w14:paraId="24A5FBF8" w14:textId="77777777" w:rsidR="003C681F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Телефон: 0235-2-36-39</w:t>
      </w:r>
    </w:p>
    <w:p w14:paraId="47C9B488" w14:textId="0EC022E7" w:rsidR="0040068E" w:rsidRPr="00BC558D" w:rsidRDefault="003C681F" w:rsidP="003C681F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u w:val="none"/>
          <w:lang w:val="af-ZA"/>
        </w:rPr>
      </w:pPr>
      <w:r w:rsidRPr="00BC558D">
        <w:rPr>
          <w:rStyle w:val="a3"/>
          <w:rFonts w:ascii="Calibri" w:hAnsi="Calibri" w:cs="Calibri"/>
          <w:color w:val="auto"/>
          <w:sz w:val="18"/>
          <w:szCs w:val="18"/>
          <w:u w:val="none"/>
          <w:lang w:val="af-ZA"/>
        </w:rPr>
        <w:t>Электронная почта: subvencia2025@mail.ru</w:t>
      </w:r>
    </w:p>
    <w:sectPr w:rsidR="0040068E" w:rsidRPr="00BC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D9"/>
    <w:rsid w:val="00067918"/>
    <w:rsid w:val="00224CC8"/>
    <w:rsid w:val="00255878"/>
    <w:rsid w:val="002D2F24"/>
    <w:rsid w:val="00337210"/>
    <w:rsid w:val="003C681F"/>
    <w:rsid w:val="0040068E"/>
    <w:rsid w:val="00440F07"/>
    <w:rsid w:val="00496BD6"/>
    <w:rsid w:val="005350D9"/>
    <w:rsid w:val="005E131D"/>
    <w:rsid w:val="007A23AE"/>
    <w:rsid w:val="00900A0A"/>
    <w:rsid w:val="009D656D"/>
    <w:rsid w:val="00A26C7F"/>
    <w:rsid w:val="00B15617"/>
    <w:rsid w:val="00B162BB"/>
    <w:rsid w:val="00B63EA7"/>
    <w:rsid w:val="00BC558D"/>
    <w:rsid w:val="00C650F6"/>
    <w:rsid w:val="00D627B0"/>
    <w:rsid w:val="00E44284"/>
    <w:rsid w:val="00E8321A"/>
    <w:rsid w:val="00FE6CD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docId w15:val="{6D1EB662-3765-4CA5-A5DB-B66F3717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10</cp:revision>
  <dcterms:created xsi:type="dcterms:W3CDTF">2025-07-11T13:25:00Z</dcterms:created>
  <dcterms:modified xsi:type="dcterms:W3CDTF">2026-03-31T11:31:00Z</dcterms:modified>
</cp:coreProperties>
</file>