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BF38" w14:textId="77777777" w:rsidR="00FC0ECE" w:rsidRDefault="00FC0ECE" w:rsidP="004C0BC8">
      <w:pPr>
        <w:pStyle w:val="af3"/>
        <w:spacing w:after="0"/>
        <w:ind w:right="-7" w:firstLine="567"/>
        <w:jc w:val="center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086068D8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</w:t>
      </w:r>
      <w:r w:rsidR="00C605C1">
        <w:rPr>
          <w:rFonts w:ascii="GHEA Grapalat" w:hAnsi="GHEA Grapalat" w:cs="Times New Roman"/>
          <w:sz w:val="20"/>
          <w:lang w:val="hy-AM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 xml:space="preserve"> գնահատող հանձնաժողովի </w:t>
      </w:r>
      <w:r w:rsidRPr="00FB7040">
        <w:rPr>
          <w:rFonts w:ascii="GHEA Grapalat" w:hAnsi="GHEA Grapalat" w:cs="Times New Roman"/>
          <w:sz w:val="20"/>
          <w:lang w:val="af-ZA"/>
        </w:rPr>
        <w:t>20</w:t>
      </w:r>
      <w:r w:rsidR="00D82256" w:rsidRPr="00FB7040">
        <w:rPr>
          <w:rFonts w:ascii="GHEA Grapalat" w:hAnsi="GHEA Grapalat" w:cs="Times New Roman"/>
          <w:sz w:val="20"/>
          <w:lang w:val="af-ZA"/>
        </w:rPr>
        <w:t>2</w:t>
      </w:r>
      <w:r w:rsidR="00E26DD2" w:rsidRPr="00FB7040">
        <w:rPr>
          <w:rFonts w:ascii="GHEA Grapalat" w:hAnsi="GHEA Grapalat" w:cs="Times New Roman"/>
          <w:sz w:val="20"/>
          <w:lang w:val="af-ZA"/>
        </w:rPr>
        <w:t>4</w:t>
      </w:r>
      <w:r w:rsidR="00D82256" w:rsidRPr="00FB7040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թվականի</w:t>
      </w:r>
      <w:r w:rsidR="009A7F94" w:rsidRPr="00FB7040">
        <w:rPr>
          <w:rFonts w:ascii="GHEA Grapalat" w:hAnsi="GHEA Grapalat" w:cs="Times New Roman"/>
          <w:sz w:val="20"/>
          <w:lang w:val="af-ZA"/>
        </w:rPr>
        <w:t xml:space="preserve"> </w:t>
      </w:r>
      <w:r w:rsidR="003E7511">
        <w:rPr>
          <w:rFonts w:ascii="GHEA Grapalat" w:hAnsi="GHEA Grapalat" w:cs="Times New Roman"/>
          <w:sz w:val="20"/>
          <w:lang w:val="af-ZA"/>
        </w:rPr>
        <w:t>հուլիս</w:t>
      </w:r>
      <w:r w:rsidR="00AC5163" w:rsidRPr="00FB7040">
        <w:rPr>
          <w:rFonts w:ascii="GHEA Grapalat" w:hAnsi="GHEA Grapalat" w:cs="Times New Roman"/>
          <w:sz w:val="20"/>
          <w:lang w:val="af-ZA"/>
        </w:rPr>
        <w:t>ի</w:t>
      </w:r>
      <w:r w:rsidR="00A439F6" w:rsidRPr="00FB7040">
        <w:rPr>
          <w:rFonts w:ascii="GHEA Grapalat" w:hAnsi="GHEA Grapalat" w:cs="Times New Roman"/>
          <w:sz w:val="20"/>
          <w:lang w:val="af-ZA"/>
        </w:rPr>
        <w:t xml:space="preserve"> </w:t>
      </w:r>
      <w:r w:rsidR="003E7511">
        <w:rPr>
          <w:rFonts w:ascii="GHEA Grapalat" w:hAnsi="GHEA Grapalat" w:cs="Times New Roman"/>
          <w:sz w:val="20"/>
          <w:lang w:val="af-ZA"/>
        </w:rPr>
        <w:t>3</w:t>
      </w:r>
      <w:r w:rsidR="003E7511">
        <w:rPr>
          <w:rFonts w:ascii="Microsoft JhengHei" w:eastAsia="Microsoft JhengHei" w:hAnsi="Microsoft JhengHei" w:cs="Microsoft JhengHei"/>
          <w:sz w:val="20"/>
          <w:lang w:val="af-ZA"/>
        </w:rPr>
        <w:t>1</w:t>
      </w:r>
      <w:r w:rsidR="00D82256" w:rsidRPr="00FB7040">
        <w:rPr>
          <w:rFonts w:ascii="GHEA Grapalat" w:hAnsi="GHEA Grapalat" w:cs="Times New Roman"/>
          <w:sz w:val="20"/>
          <w:lang w:val="af-ZA"/>
        </w:rPr>
        <w:t xml:space="preserve">-ի </w:t>
      </w:r>
      <w:r w:rsidRPr="00FB7040">
        <w:rPr>
          <w:rFonts w:ascii="GHEA Grapalat" w:hAnsi="GHEA Grapalat" w:cs="Times New Roman"/>
          <w:sz w:val="20"/>
          <w:lang w:val="af-ZA"/>
        </w:rPr>
        <w:t xml:space="preserve">N </w:t>
      </w:r>
      <w:r w:rsidR="00D82256" w:rsidRPr="00FB7040">
        <w:rPr>
          <w:rFonts w:ascii="GHEA Grapalat" w:hAnsi="GHEA Grapalat" w:cs="Times New Roman"/>
          <w:sz w:val="20"/>
          <w:lang w:val="af-ZA"/>
        </w:rPr>
        <w:t>1</w:t>
      </w:r>
      <w:r w:rsidRPr="00FB7040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1A83DFDF" w14:textId="03B2690A" w:rsidR="00FC0ECE" w:rsidRPr="00FB7040" w:rsidRDefault="00FC0ECE" w:rsidP="009A7F94">
      <w:pPr>
        <w:pStyle w:val="af6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FB7040" w:rsidRPr="00FB7040">
        <w:rPr>
          <w:rFonts w:ascii="GHEA Grapalat" w:hAnsi="GHEA Grapalat" w:cs="Times New Roman"/>
          <w:b/>
          <w:bCs/>
          <w:sz w:val="20"/>
          <w:lang w:val="af-ZA"/>
        </w:rPr>
        <w:t>ՊԳԿԿ-</w:t>
      </w:r>
      <w:r w:rsidR="00AC5163" w:rsidRPr="00FB7040">
        <w:rPr>
          <w:rFonts w:ascii="GHEA Grapalat" w:hAnsi="GHEA Grapalat" w:cs="Times New Roman"/>
          <w:b/>
          <w:bCs/>
          <w:sz w:val="20"/>
          <w:lang w:val="af-ZA"/>
        </w:rPr>
        <w:t>ՓԳՀԾՁԲ-</w:t>
      </w:r>
      <w:r w:rsidR="00FB7040" w:rsidRPr="00FB7040">
        <w:rPr>
          <w:rFonts w:ascii="GHEA Grapalat" w:hAnsi="GHEA Grapalat" w:cs="Times New Roman"/>
          <w:b/>
          <w:bCs/>
          <w:sz w:val="20"/>
          <w:lang w:val="af-ZA"/>
        </w:rPr>
        <w:t>2024/1</w:t>
      </w:r>
      <w:r w:rsidR="003E7511">
        <w:rPr>
          <w:rFonts w:ascii="GHEA Grapalat" w:hAnsi="GHEA Grapalat" w:cs="Times New Roman"/>
          <w:b/>
          <w:bCs/>
          <w:sz w:val="20"/>
          <w:lang w:val="af-ZA"/>
        </w:rPr>
        <w:t>1</w:t>
      </w:r>
    </w:p>
    <w:p w14:paraId="5030392A" w14:textId="77777777" w:rsidR="00FC0ECE" w:rsidRPr="00E26DD2" w:rsidRDefault="00FC0ECE" w:rsidP="00FC0ECE">
      <w:pPr>
        <w:pStyle w:val="af6"/>
        <w:spacing w:after="0" w:line="240" w:lineRule="auto"/>
        <w:ind w:firstLine="708"/>
        <w:jc w:val="left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af6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af6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5A58B201" w:rsidR="00FC0ECE" w:rsidRDefault="00FC0ECE" w:rsidP="00F02B40">
      <w:pPr>
        <w:pStyle w:val="af6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FB7040" w:rsidRPr="00FB7040">
        <w:rPr>
          <w:rFonts w:ascii="GHEA Grapalat" w:hAnsi="GHEA Grapalat" w:cs="Times New Roman"/>
          <w:b/>
          <w:bCs/>
          <w:sz w:val="20"/>
          <w:lang w:val="af-ZA"/>
        </w:rPr>
        <w:t>Պետական գույքի կառավարման կոմիտեն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B7040">
        <w:rPr>
          <w:rFonts w:ascii="GHEA Grapalat" w:hAnsi="GHEA Grapalat" w:cs="Times New Roman"/>
          <w:b/>
          <w:sz w:val="20"/>
          <w:lang w:val="af-ZA"/>
        </w:rPr>
        <w:t>Տիգրան Մեծ</w:t>
      </w:r>
      <w:r w:rsidR="004C0BC8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FB7040">
        <w:rPr>
          <w:rFonts w:ascii="GHEA Grapalat" w:hAnsi="GHEA Grapalat" w:cs="Times New Roman"/>
          <w:b/>
          <w:sz w:val="20"/>
          <w:lang w:val="af-ZA"/>
        </w:rPr>
        <w:t>4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B7040">
        <w:rPr>
          <w:rFonts w:ascii="GHEA Grapalat" w:hAnsi="GHEA Grapalat" w:cs="Times New Roman"/>
          <w:b/>
          <w:sz w:val="20"/>
          <w:lang w:val="hy-AM"/>
        </w:rPr>
        <w:t>ներքին աուդիտի</w:t>
      </w:r>
      <w:r w:rsidR="009A7F94" w:rsidRPr="009A7F94">
        <w:rPr>
          <w:rFonts w:ascii="GHEA Grapalat" w:hAnsi="GHEA Grapalat" w:cs="Times New Roman"/>
          <w:b/>
          <w:sz w:val="20"/>
          <w:lang w:val="hy-AM"/>
        </w:rPr>
        <w:t xml:space="preserve"> ծառայությունների </w:t>
      </w:r>
      <w:r>
        <w:rPr>
          <w:rFonts w:ascii="GHEA Grapalat" w:hAnsi="GHEA Grapalat" w:cs="Times New Roman"/>
          <w:sz w:val="20"/>
          <w:lang w:val="af-ZA"/>
        </w:rPr>
        <w:t xml:space="preserve">ձեռքբերման նպատակով կազմակերպվելիք </w:t>
      </w:r>
      <w:r w:rsidR="00C605C1">
        <w:rPr>
          <w:rFonts w:ascii="GHEA Grapalat" w:hAnsi="GHEA Grapalat" w:cs="Times New Roman"/>
          <w:sz w:val="20"/>
          <w:lang w:val="af-ZA"/>
        </w:rPr>
        <w:t xml:space="preserve">փակ գնանշման հարցման </w:t>
      </w:r>
      <w:r>
        <w:rPr>
          <w:rFonts w:ascii="GHEA Grapalat" w:hAnsi="GHEA Grapalat" w:cs="Times New Roman"/>
          <w:sz w:val="20"/>
          <w:lang w:val="af-ZA"/>
        </w:rPr>
        <w:t>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af6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af6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30CF25C1" w:rsidR="00FC0ECE" w:rsidRPr="003E7511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3E7511">
        <w:rPr>
          <w:rFonts w:ascii="GHEA Grapalat" w:hAnsi="GHEA Grapalat"/>
          <w:b/>
          <w:sz w:val="20"/>
          <w:lang w:val="af-ZA"/>
        </w:rPr>
        <w:t xml:space="preserve">համանման </w:t>
      </w:r>
      <w:r w:rsidR="004F0E3F" w:rsidRPr="003E7511">
        <w:rPr>
          <w:rFonts w:ascii="GHEA Grapalat" w:hAnsi="GHEA Grapalat"/>
          <w:b/>
          <w:sz w:val="20"/>
          <w:lang w:val="hy-AM"/>
        </w:rPr>
        <w:t>է</w:t>
      </w:r>
      <w:r w:rsidR="00B10DCC" w:rsidRPr="003E7511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FB7040" w:rsidRPr="003E7511">
        <w:rPr>
          <w:rFonts w:ascii="GHEA Grapalat" w:hAnsi="GHEA Grapalat"/>
          <w:b/>
          <w:sz w:val="20"/>
          <w:lang w:val="hy-AM"/>
        </w:rPr>
        <w:t>«ներքին աուդիտի ծառայությունների</w:t>
      </w:r>
      <w:r w:rsidR="00A439F6" w:rsidRPr="003E7511">
        <w:rPr>
          <w:rFonts w:ascii="GHEA Grapalat" w:hAnsi="GHEA Grapalat"/>
          <w:b/>
          <w:sz w:val="20"/>
          <w:lang w:val="hy-AM"/>
        </w:rPr>
        <w:t>»</w:t>
      </w:r>
      <w:r w:rsidR="00B10DCC" w:rsidRPr="003E7511">
        <w:rPr>
          <w:rFonts w:ascii="GHEA Grapalat" w:hAnsi="GHEA Grapalat"/>
          <w:b/>
          <w:sz w:val="20"/>
          <w:lang w:val="af-ZA"/>
        </w:rPr>
        <w:t xml:space="preserve"> մատ</w:t>
      </w:r>
      <w:r w:rsidR="00A439F6" w:rsidRPr="003E7511">
        <w:rPr>
          <w:rFonts w:ascii="GHEA Grapalat" w:hAnsi="GHEA Grapalat"/>
          <w:b/>
          <w:sz w:val="20"/>
          <w:lang w:val="hy-AM"/>
        </w:rPr>
        <w:t xml:space="preserve">ուցման </w:t>
      </w:r>
      <w:r w:rsidR="00B10DCC" w:rsidRPr="003E7511">
        <w:rPr>
          <w:rFonts w:ascii="GHEA Grapalat" w:hAnsi="GHEA Grapalat"/>
          <w:b/>
          <w:sz w:val="20"/>
          <w:lang w:val="af-ZA"/>
        </w:rPr>
        <w:t>պայմանագ</w:t>
      </w:r>
      <w:r w:rsidR="004F0E3F" w:rsidRPr="003E7511">
        <w:rPr>
          <w:rFonts w:ascii="GHEA Grapalat" w:hAnsi="GHEA Grapalat"/>
          <w:b/>
          <w:sz w:val="20"/>
          <w:lang w:val="hy-AM"/>
        </w:rPr>
        <w:t>ի</w:t>
      </w:r>
      <w:r w:rsidR="00B10DCC" w:rsidRPr="003E7511">
        <w:rPr>
          <w:rFonts w:ascii="GHEA Grapalat" w:hAnsi="GHEA Grapalat"/>
          <w:b/>
          <w:sz w:val="20"/>
          <w:lang w:val="af-ZA"/>
        </w:rPr>
        <w:t>րը</w:t>
      </w:r>
      <w:r w:rsidR="00B10DCC" w:rsidRPr="003E7511">
        <w:rPr>
          <w:rFonts w:ascii="GHEA Grapalat" w:hAnsi="GHEA Grapalat"/>
          <w:sz w:val="20"/>
          <w:lang w:val="af-ZA"/>
        </w:rPr>
        <w:t>:</w:t>
      </w:r>
    </w:p>
    <w:p w14:paraId="255F88AF" w14:textId="0768F6E0" w:rsidR="00FC0ECE" w:rsidRPr="003E7511" w:rsidRDefault="00FC0ECE" w:rsidP="00FC0ECE">
      <w:pPr>
        <w:ind w:firstLine="720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A439F6" w:rsidRPr="00A439F6">
        <w:rPr>
          <w:rFonts w:ascii="GHEA Grapalat" w:hAnsi="GHEA Grapalat"/>
          <w:b/>
          <w:sz w:val="20"/>
          <w:lang w:val="hy-AM"/>
        </w:rPr>
        <w:t>«</w:t>
      </w:r>
      <w:r w:rsidR="00FB7040">
        <w:rPr>
          <w:rFonts w:ascii="GHEA Grapalat" w:hAnsi="GHEA Grapalat"/>
          <w:b/>
          <w:sz w:val="20"/>
          <w:lang w:val="hy-AM"/>
        </w:rPr>
        <w:t>ներքին աուդիտի</w:t>
      </w:r>
      <w:r w:rsidR="00A439F6" w:rsidRPr="009A7F94">
        <w:rPr>
          <w:rFonts w:ascii="GHEA Grapalat" w:hAnsi="GHEA Grapalat"/>
          <w:b/>
          <w:sz w:val="20"/>
          <w:lang w:val="hy-AM"/>
        </w:rPr>
        <w:t>»</w:t>
      </w:r>
      <w:r w:rsidR="00A439F6" w:rsidRPr="00A439F6">
        <w:rPr>
          <w:rFonts w:ascii="GHEA Grapalat" w:hAnsi="GHEA Grapalat"/>
          <w:b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մատ</w:t>
      </w:r>
      <w:r w:rsidR="00A439F6">
        <w:rPr>
          <w:rFonts w:ascii="GHEA Grapalat" w:hAnsi="GHEA Grapalat"/>
          <w:b/>
          <w:sz w:val="20"/>
          <w:lang w:val="hy-AM"/>
        </w:rPr>
        <w:t>ուցման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 xml:space="preserve">առնվազն </w:t>
      </w:r>
      <w:r w:rsidR="000E48E7" w:rsidRPr="000721C1">
        <w:rPr>
          <w:rFonts w:ascii="GHEA Grapalat" w:hAnsi="GHEA Grapalat"/>
          <w:b/>
          <w:sz w:val="20"/>
          <w:lang w:val="hy-AM"/>
        </w:rPr>
        <w:t>1</w:t>
      </w:r>
      <w:r w:rsidR="000E48E7" w:rsidRPr="000E48E7">
        <w:rPr>
          <w:rFonts w:ascii="GHEA Grapalat" w:hAnsi="GHEA Grapalat"/>
          <w:b/>
          <w:sz w:val="20"/>
          <w:lang w:val="hy-AM"/>
        </w:rPr>
        <w:t xml:space="preserve"> նմանատիպ պայմանագիր</w:t>
      </w:r>
      <w:r w:rsidR="00E15E7D">
        <w:rPr>
          <w:rFonts w:ascii="GHEA Grapalat" w:hAnsi="GHEA Grapalat"/>
          <w:b/>
          <w:sz w:val="20"/>
          <w:lang w:val="hy-AM"/>
        </w:rPr>
        <w:t xml:space="preserve"> կամ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</w:t>
      </w:r>
      <w:r w:rsidR="00E86E4B">
        <w:rPr>
          <w:rFonts w:ascii="GHEA Grapalat" w:hAnsi="GHEA Grapalat"/>
          <w:b/>
          <w:sz w:val="20"/>
          <w:lang w:val="hy-AM"/>
        </w:rPr>
        <w:t xml:space="preserve">գործարքը հավաստող փաստաթղթեր՝ </w:t>
      </w:r>
      <w:r w:rsidR="00E15E7D" w:rsidRPr="003E7511">
        <w:rPr>
          <w:rFonts w:ascii="GHEA Grapalat" w:hAnsi="GHEA Grapalat"/>
          <w:b/>
          <w:sz w:val="20"/>
          <w:lang w:val="hy-AM"/>
        </w:rPr>
        <w:t xml:space="preserve">Պատվիրատուի կողմից տրված տեղեկանք, </w:t>
      </w:r>
      <w:r w:rsidR="00E86E4B" w:rsidRPr="003E7511">
        <w:rPr>
          <w:rFonts w:ascii="GHEA Grapalat" w:hAnsi="GHEA Grapalat"/>
          <w:b/>
          <w:sz w:val="20"/>
          <w:lang w:val="hy-AM"/>
        </w:rPr>
        <w:t>հաշվարկային փաստաթղթեր, հանձման ընդունման արձանագրություններ և այլ առկա փաստաթղթեր</w:t>
      </w:r>
      <w:r w:rsidR="000E48E7" w:rsidRPr="003E7511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60D39211" w:rsidR="00FC0ECE" w:rsidRPr="007F5059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="00C605C1">
        <w:rPr>
          <w:rFonts w:ascii="GHEA Grapalat" w:hAnsi="GHEA Grapalat" w:cs="Times New Roman"/>
          <w:b/>
          <w:sz w:val="20"/>
          <w:lang w:val="hy-AM"/>
        </w:rPr>
        <w:t>Փ</w:t>
      </w:r>
      <w:r w:rsidR="00C605C1" w:rsidRPr="00C605C1">
        <w:rPr>
          <w:rFonts w:ascii="GHEA Grapalat" w:hAnsi="GHEA Grapalat" w:cs="Times New Roman"/>
          <w:b/>
          <w:sz w:val="20"/>
          <w:lang w:val="af-ZA"/>
        </w:rPr>
        <w:t xml:space="preserve">ակ գնանշման հարցման </w:t>
      </w:r>
      <w:r w:rsidRPr="007F5059">
        <w:rPr>
          <w:rFonts w:ascii="GHEA Grapalat" w:hAnsi="GHEA Grapalat" w:cs="Times New Roman"/>
          <w:b/>
          <w:sz w:val="2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585A217" w14:textId="77777777" w:rsidR="004C0BC8" w:rsidRDefault="004C0BC8" w:rsidP="004C0BC8">
      <w:pPr>
        <w:rPr>
          <w:rFonts w:ascii="GHEA Grapalat" w:hAnsi="GHEA Grapalat" w:cs="Sylfaen"/>
          <w:b/>
          <w:sz w:val="20"/>
          <w:lang w:val="af-ZA"/>
        </w:rPr>
      </w:pPr>
    </w:p>
    <w:p w14:paraId="2843B3D5" w14:textId="77777777" w:rsidR="004C0BC8" w:rsidRDefault="004C0BC8" w:rsidP="004C0BC8">
      <w:pPr>
        <w:rPr>
          <w:rFonts w:ascii="GHEA Grapalat" w:hAnsi="GHEA Grapalat" w:cs="Sylfaen"/>
          <w:b/>
          <w:sz w:val="20"/>
          <w:lang w:val="af-ZA"/>
        </w:rPr>
      </w:pPr>
    </w:p>
    <w:p w14:paraId="4B4F245F" w14:textId="4719029A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a5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>
        <w:rPr>
          <w:rFonts w:ascii="GHEA Grapalat" w:hAnsi="GHEA Grapalat" w:cs="Sylfaen"/>
          <w:sz w:val="20"/>
          <w:lang w:val="ru-RU"/>
        </w:rPr>
        <w:t>Հայտերի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առնվազն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առաջ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կարող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են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proofErr w:type="spellStart"/>
      <w:r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մասին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դեպքում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հայտերը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այդ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մասին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օրվանից</w:t>
      </w:r>
      <w:proofErr w:type="spellEnd"/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Սույն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ընթացակարգին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մասնակցելու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  <w:lang w:val="ru-RU"/>
        </w:rPr>
        <w:t>համար</w:t>
      </w:r>
      <w:proofErr w:type="spellEnd"/>
      <w:r>
        <w:rPr>
          <w:rFonts w:ascii="GHEA Grapalat" w:hAnsi="GHEA Grapalat" w:cs="Sylfaen"/>
        </w:rPr>
        <w:t xml:space="preserve"> մ</w:t>
      </w:r>
      <w:proofErr w:type="spellStart"/>
      <w:r>
        <w:rPr>
          <w:rFonts w:ascii="GHEA Grapalat" w:hAnsi="GHEA Grapalat" w:cs="Sylfaen"/>
          <w:lang w:val="ru-RU"/>
        </w:rPr>
        <w:t>ասնակիցը</w:t>
      </w:r>
      <w:proofErr w:type="spellEnd"/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5CB11FFA" w:rsidR="00FC0ECE" w:rsidRPr="004C0BC8" w:rsidRDefault="00FC0ECE" w:rsidP="00FC0ECE">
      <w:pPr>
        <w:ind w:firstLine="567"/>
        <w:jc w:val="both"/>
        <w:rPr>
          <w:rFonts w:ascii="GHEA Grapalat" w:hAnsi="GHEA Grapalat" w:cs="Sylfaen"/>
          <w:b/>
          <w:color w:val="FF0000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հայտերն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ուշ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lang w:val="ru-RU"/>
        </w:rPr>
        <w:t>քան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օրվանից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հաշված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 w:rsidR="003E7511" w:rsidRPr="003E7511">
        <w:rPr>
          <w:rFonts w:ascii="GHEA Grapalat" w:hAnsi="GHEA Grapalat" w:cs="Sylfaen"/>
          <w:sz w:val="20"/>
          <w:u w:val="single"/>
          <w:lang w:val="hy-AM"/>
        </w:rPr>
        <w:t>7</w:t>
      </w:r>
      <w:r w:rsidRPr="003E7511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3E7511"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3E751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E7511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="00625A0B" w:rsidRPr="003E7511">
        <w:rPr>
          <w:rFonts w:ascii="GHEA Grapalat" w:hAnsi="GHEA Grapalat" w:cs="Sylfaen"/>
          <w:sz w:val="20"/>
          <w:lang w:val="hy-AM"/>
        </w:rPr>
        <w:t xml:space="preserve"> </w:t>
      </w:r>
      <w:r w:rsidR="00A439F6" w:rsidRPr="003E7511">
        <w:rPr>
          <w:rFonts w:ascii="GHEA Grapalat" w:hAnsi="GHEA Grapalat" w:cs="Sylfaen"/>
          <w:sz w:val="20"/>
          <w:lang w:val="af-ZA"/>
        </w:rPr>
        <w:t>(</w:t>
      </w:r>
      <w:r w:rsidR="004C0BC8" w:rsidRPr="003E7511">
        <w:rPr>
          <w:rFonts w:ascii="GHEA Grapalat" w:hAnsi="GHEA Grapalat" w:cs="Sylfaen"/>
          <w:sz w:val="20"/>
          <w:lang w:val="hy-AM"/>
        </w:rPr>
        <w:t>oր</w:t>
      </w:r>
      <w:r w:rsidR="004C0BC8" w:rsidRPr="003E7511">
        <w:rPr>
          <w:rFonts w:ascii="GHEA Grapalat" w:hAnsi="GHEA Grapalat" w:cs="Sylfaen"/>
          <w:sz w:val="20"/>
          <w:lang w:val="af-ZA"/>
        </w:rPr>
        <w:t>)</w:t>
      </w:r>
      <w:r w:rsidRPr="003E751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E7511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3E7511">
        <w:rPr>
          <w:rFonts w:ascii="GHEA Grapalat" w:hAnsi="GHEA Grapalat" w:cs="Sylfaen"/>
          <w:sz w:val="20"/>
          <w:lang w:val="af-ZA"/>
        </w:rPr>
        <w:t xml:space="preserve"> </w:t>
      </w:r>
      <w:r w:rsidR="003E7511" w:rsidRPr="003E7511">
        <w:rPr>
          <w:rFonts w:ascii="GHEA Grapalat" w:hAnsi="GHEA Grapalat" w:cs="Sylfaen"/>
          <w:sz w:val="20"/>
          <w:u w:val="single"/>
          <w:lang w:val="hy-AM"/>
        </w:rPr>
        <w:t>12</w:t>
      </w:r>
      <w:r w:rsidR="00D65A80" w:rsidRPr="003E7511">
        <w:rPr>
          <w:rFonts w:ascii="GHEA Grapalat" w:hAnsi="GHEA Grapalat" w:cs="Sylfaen"/>
          <w:sz w:val="20"/>
          <w:u w:val="single"/>
          <w:lang w:val="hy-AM"/>
        </w:rPr>
        <w:t>։00</w:t>
      </w:r>
      <w:r w:rsidRPr="003E7511">
        <w:rPr>
          <w:rFonts w:ascii="GHEA Grapalat" w:hAnsi="GHEA Grapalat" w:cs="Sylfaen"/>
          <w:sz w:val="20"/>
          <w:lang w:val="af-ZA"/>
        </w:rPr>
        <w:t>-</w:t>
      </w:r>
      <w:r w:rsidRPr="003E7511">
        <w:rPr>
          <w:rFonts w:ascii="GHEA Grapalat" w:hAnsi="GHEA Grapalat" w:cs="Sylfaen"/>
          <w:sz w:val="20"/>
          <w:lang w:val="hy-AM"/>
        </w:rPr>
        <w:t>ն</w:t>
      </w:r>
      <w:r w:rsidRPr="003E7511">
        <w:rPr>
          <w:rFonts w:ascii="GHEA Grapalat" w:hAnsi="GHEA Grapalat" w:cs="Sylfaen"/>
          <w:b/>
          <w:sz w:val="20"/>
          <w:lang w:val="af-ZA"/>
        </w:rPr>
        <w:t xml:space="preserve">: </w:t>
      </w:r>
    </w:p>
    <w:p w14:paraId="347E0B94" w14:textId="2E09B843" w:rsidR="00FC0ECE" w:rsidRPr="004C0BC8" w:rsidRDefault="00FC0ECE" w:rsidP="004C0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251D93" w:rsidRPr="004C0BC8">
        <w:rPr>
          <w:rFonts w:ascii="GHEA Grapalat" w:hAnsi="GHEA Grapalat" w:cs="Sylfaen"/>
          <w:b/>
          <w:bCs/>
          <w:sz w:val="20"/>
          <w:lang w:val="hy-AM"/>
        </w:rPr>
        <w:t>Տիգրան Մեծ 4</w:t>
      </w:r>
      <w:r w:rsidR="006875EA" w:rsidRPr="004C0BC8">
        <w:rPr>
          <w:rFonts w:ascii="GHEA Grapalat" w:hAnsi="GHEA Grapalat" w:cs="Sylfaen"/>
          <w:b/>
          <w:bCs/>
          <w:i/>
          <w:color w:val="2E74B5" w:themeColor="accent5" w:themeShade="BF"/>
          <w:sz w:val="20"/>
          <w:lang w:val="hy-AM"/>
        </w:rPr>
        <w:t xml:space="preserve"> </w:t>
      </w:r>
      <w:r w:rsidR="006875EA" w:rsidRPr="00BC042D">
        <w:rPr>
          <w:rFonts w:ascii="GHEA Grapalat" w:hAnsi="GHEA Grapalat" w:cs="Sylfaen"/>
          <w:b/>
          <w:i/>
          <w:sz w:val="20"/>
          <w:lang w:val="hy-AM"/>
        </w:rPr>
        <w:t>(</w:t>
      </w:r>
      <w:r w:rsidR="000C71F9">
        <w:rPr>
          <w:rFonts w:ascii="GHEA Grapalat" w:hAnsi="GHEA Grapalat" w:cs="Sylfaen"/>
          <w:b/>
          <w:i/>
          <w:sz w:val="20"/>
          <w:lang w:val="hy-AM"/>
        </w:rPr>
        <w:t>6-ր</w:t>
      </w:r>
      <w:r w:rsidR="00BC042D">
        <w:rPr>
          <w:rFonts w:ascii="GHEA Grapalat" w:hAnsi="GHEA Grapalat" w:cs="Sylfaen"/>
          <w:b/>
          <w:i/>
          <w:sz w:val="20"/>
          <w:lang w:val="hy-AM"/>
        </w:rPr>
        <w:t xml:space="preserve">դ </w:t>
      </w:r>
      <w:r w:rsidR="00251D93" w:rsidRPr="00BC042D">
        <w:rPr>
          <w:rFonts w:ascii="Sylfaen" w:eastAsia="Microsoft JhengHei" w:hAnsi="Sylfaen" w:cs="Microsoft JhengHei"/>
          <w:b/>
          <w:i/>
          <w:sz w:val="20"/>
          <w:lang w:val="hy-AM"/>
        </w:rPr>
        <w:t xml:space="preserve">հարկ, </w:t>
      </w:r>
      <w:r w:rsidR="00BC042D">
        <w:rPr>
          <w:rFonts w:ascii="Sylfaen" w:eastAsia="Microsoft JhengHei" w:hAnsi="Sylfaen" w:cs="Microsoft JhengHei"/>
          <w:b/>
          <w:i/>
          <w:sz w:val="20"/>
          <w:lang w:val="hy-AM"/>
        </w:rPr>
        <w:t xml:space="preserve">2-րդ </w:t>
      </w:r>
      <w:r w:rsidR="00251D93" w:rsidRPr="00BC042D">
        <w:rPr>
          <w:rFonts w:ascii="Sylfaen" w:eastAsia="Microsoft JhengHei" w:hAnsi="Sylfaen" w:cs="Microsoft JhengHei"/>
          <w:b/>
          <w:i/>
          <w:sz w:val="20"/>
          <w:lang w:val="hy-AM"/>
        </w:rPr>
        <w:t>սենյակ</w:t>
      </w:r>
      <w:r w:rsidR="006875EA" w:rsidRPr="00BC042D">
        <w:rPr>
          <w:rFonts w:ascii="GHEA Grapalat" w:hAnsi="GHEA Grapalat" w:cs="Sylfaen"/>
          <w:b/>
          <w:i/>
          <w:sz w:val="20"/>
          <w:lang w:val="hy-AM"/>
        </w:rPr>
        <w:t>)</w:t>
      </w:r>
      <w:r w:rsidRPr="00BC042D">
        <w:rPr>
          <w:rFonts w:ascii="GHEA Grapalat" w:hAnsi="GHEA Grapalat" w:cs="Sylfaen"/>
          <w:b/>
          <w:i/>
          <w:sz w:val="20"/>
          <w:lang w:val="hy-AM"/>
        </w:rPr>
        <w:t>:</w:t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r w:rsidRPr="004C0BC8">
        <w:rPr>
          <w:rFonts w:ascii="GHEA Grapalat" w:hAnsi="GHEA Grapalat" w:cs="Sylfaen"/>
          <w:szCs w:val="24"/>
          <w:lang w:val="hy-AM"/>
        </w:rPr>
        <w:t>Փաստաթղթային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ձևով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ներկայացված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նախաորակավորման</w:t>
      </w:r>
      <w:r w:rsidRPr="00D82256"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 w:rsidRPr="004C0BC8">
        <w:rPr>
          <w:rFonts w:ascii="GHEA Grapalat" w:hAnsi="GHEA Grapalat" w:cs="Sylfaen"/>
          <w:szCs w:val="24"/>
          <w:lang w:val="hy-AM"/>
        </w:rPr>
        <w:t>քարտուղարը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կողմից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են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` </w:t>
      </w:r>
      <w:proofErr w:type="spellStart"/>
      <w:r>
        <w:rPr>
          <w:rFonts w:ascii="GHEA Grapalat" w:hAnsi="GHEA Grapalat" w:cs="Sylfaen"/>
          <w:szCs w:val="24"/>
          <w:lang w:val="ru-RU"/>
        </w:rPr>
        <w:t>ըստ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>
        <w:rPr>
          <w:rFonts w:ascii="GHEA Grapalat" w:hAnsi="GHEA Grapalat" w:cs="Sylfaen"/>
          <w:szCs w:val="24"/>
        </w:rPr>
        <w:t xml:space="preserve">`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նշելով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համարը</w:t>
      </w:r>
      <w:proofErr w:type="spellEnd"/>
      <w:r>
        <w:rPr>
          <w:rFonts w:ascii="GHEA Grapalat" w:hAnsi="GHEA Grapalat" w:cs="Sylfaen"/>
          <w:szCs w:val="24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ru-RU"/>
        </w:rPr>
        <w:t>օրը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ժամը</w:t>
      </w:r>
      <w:proofErr w:type="spellEnd"/>
      <w:r>
        <w:rPr>
          <w:rFonts w:ascii="GHEA Grapalat" w:hAnsi="GHEA Grapalat" w:cs="Sylfaen"/>
          <w:szCs w:val="24"/>
        </w:rPr>
        <w:t xml:space="preserve">: </w:t>
      </w:r>
      <w:proofErr w:type="spellStart"/>
      <w:r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>
        <w:rPr>
          <w:rFonts w:ascii="GHEA Grapalat" w:hAnsi="GHEA Grapalat" w:cs="Sylfaen"/>
          <w:szCs w:val="24"/>
          <w:lang w:val="ru-RU"/>
        </w:rPr>
        <w:t>։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հետո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չեն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դրանք</w:t>
      </w:r>
      <w:proofErr w:type="spellEnd"/>
      <w:r>
        <w:rPr>
          <w:rFonts w:ascii="GHEA Grapalat" w:hAnsi="GHEA Grapalat" w:cs="Sylfaen"/>
          <w:szCs w:val="24"/>
        </w:rPr>
        <w:t xml:space="preserve">` </w:t>
      </w:r>
      <w:proofErr w:type="spellStart"/>
      <w:r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օրվան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երկու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օրվա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կողմից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են</w:t>
      </w:r>
      <w:proofErr w:type="spellEnd"/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proofErr w:type="spellStart"/>
      <w:r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հայտով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15E8B49E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251D93">
        <w:rPr>
          <w:rFonts w:ascii="GHEA Grapalat" w:hAnsi="GHEA Grapalat" w:cs="Sylfaen"/>
          <w:b/>
          <w:bCs/>
          <w:i/>
          <w:iCs/>
          <w:sz w:val="20"/>
        </w:rPr>
        <w:t>բնօրինակից</w:t>
      </w:r>
      <w:proofErr w:type="spellEnd"/>
      <w:r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r w:rsidRPr="00251D93">
        <w:rPr>
          <w:rFonts w:ascii="GHEA Grapalat" w:hAnsi="GHEA Grapalat" w:cs="Sylfaen"/>
          <w:b/>
          <w:bCs/>
          <w:i/>
          <w:iCs/>
          <w:sz w:val="20"/>
        </w:rPr>
        <w:t>և</w:t>
      </w:r>
      <w:r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proofErr w:type="spellStart"/>
      <w:r w:rsidR="00251D93" w:rsidRPr="00251D93">
        <w:rPr>
          <w:rFonts w:ascii="GHEA Grapalat" w:hAnsi="GHEA Grapalat" w:cs="Sylfaen"/>
          <w:b/>
          <w:bCs/>
          <w:i/>
          <w:iCs/>
          <w:sz w:val="20"/>
        </w:rPr>
        <w:t>երկու</w:t>
      </w:r>
      <w:proofErr w:type="spellEnd"/>
      <w:r w:rsidR="00E0620A"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proofErr w:type="spellStart"/>
      <w:r w:rsidR="00E0620A" w:rsidRPr="00251D93">
        <w:rPr>
          <w:rFonts w:ascii="GHEA Grapalat" w:hAnsi="GHEA Grapalat" w:cs="Sylfaen"/>
          <w:b/>
          <w:bCs/>
          <w:i/>
          <w:iCs/>
          <w:sz w:val="20"/>
        </w:rPr>
        <w:t>օրինակ</w:t>
      </w:r>
      <w:proofErr w:type="spellEnd"/>
      <w:r w:rsidR="00E0620A"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 xml:space="preserve"> </w:t>
      </w:r>
      <w:proofErr w:type="spellStart"/>
      <w:r w:rsidRPr="00251D93">
        <w:rPr>
          <w:rFonts w:ascii="GHEA Grapalat" w:hAnsi="GHEA Grapalat" w:cs="Sylfaen"/>
          <w:b/>
          <w:bCs/>
          <w:i/>
          <w:iCs/>
          <w:sz w:val="20"/>
        </w:rPr>
        <w:t>պատճեններից</w:t>
      </w:r>
      <w:proofErr w:type="spellEnd"/>
      <w:r w:rsidRPr="00251D93">
        <w:rPr>
          <w:rFonts w:ascii="GHEA Grapalat" w:hAnsi="GHEA Grapalat" w:cs="Sylfaen"/>
          <w:b/>
          <w:bCs/>
          <w:i/>
          <w:iCs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proofErr w:type="spellStart"/>
      <w:r>
        <w:rPr>
          <w:rFonts w:ascii="GHEA Grapalat" w:hAnsi="GHEA Grapalat" w:cs="Sylfaen"/>
          <w:sz w:val="20"/>
          <w:lang w:val="ru-RU"/>
        </w:rPr>
        <w:t>նօրինակ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փոխարեն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դրանց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lang w:val="ru-RU"/>
        </w:rPr>
        <w:t>Նպատակահարմարության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>
        <w:rPr>
          <w:rFonts w:ascii="GHEA Grapalat" w:hAnsi="GHEA Grapalat" w:cs="Sylfaen"/>
          <w:sz w:val="20"/>
          <w:lang w:val="ru-RU"/>
        </w:rPr>
        <w:t>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տեղեկությունները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proofErr w:type="spellStart"/>
      <w:r>
        <w:rPr>
          <w:rFonts w:ascii="GHEA Grapalat" w:hAnsi="GHEA Grapalat" w:cs="Sylfaen"/>
          <w:sz w:val="20"/>
          <w:lang w:val="ru-RU"/>
        </w:rPr>
        <w:t>առաջարկվող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ձևերից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տարբերվող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այլ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ձևերով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lang w:val="ru-RU"/>
        </w:rPr>
        <w:t>պահպանելով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պահանջվող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վավերապայմանները</w:t>
      </w:r>
      <w:proofErr w:type="spellEnd"/>
      <w:r>
        <w:rPr>
          <w:rFonts w:ascii="GHEA Grapalat" w:hAnsi="GHEA Grapalat" w:cs="Sylfaen"/>
          <w:sz w:val="20"/>
          <w:lang w:val="ru-RU"/>
        </w:rPr>
        <w:t>։</w:t>
      </w:r>
    </w:p>
    <w:p w14:paraId="7376C38A" w14:textId="77777777" w:rsidR="00FC0ECE" w:rsidRDefault="00FC0ECE" w:rsidP="00FC0ECE">
      <w:pPr>
        <w:pStyle w:val="af6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35D09547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 w:rsidR="003E7511">
        <w:rPr>
          <w:rFonts w:ascii="Microsoft JhengHei" w:eastAsia="Microsoft JhengHei" w:hAnsi="Microsoft JhengHei" w:cs="Microsoft JhengHei"/>
          <w:b/>
          <w:bCs/>
          <w:sz w:val="20"/>
          <w:lang w:val="hy-AM"/>
        </w:rPr>
        <w:t xml:space="preserve"> 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7</w:t>
      </w:r>
      <w:r w:rsidRPr="004C0BC8">
        <w:rPr>
          <w:rFonts w:ascii="GHEA Grapalat" w:hAnsi="GHEA Grapalat" w:cs="Sylfaen"/>
          <w:b/>
          <w:bCs/>
          <w:sz w:val="20"/>
          <w:lang w:val="hy-AM"/>
        </w:rPr>
        <w:t xml:space="preserve">րդ օրվա </w:t>
      </w:r>
      <w:r w:rsidR="00625A0B" w:rsidRPr="004C0BC8">
        <w:rPr>
          <w:rFonts w:ascii="GHEA Grapalat" w:hAnsi="GHEA Grapalat" w:cs="Sylfaen"/>
          <w:b/>
          <w:bCs/>
          <w:sz w:val="20"/>
          <w:lang w:val="hy-AM"/>
        </w:rPr>
        <w:t>(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08</w:t>
      </w:r>
      <w:r w:rsidR="003E7511" w:rsidRPr="003E7511">
        <w:rPr>
          <w:rFonts w:ascii="Microsoft JhengHei" w:eastAsia="Microsoft JhengHei" w:hAnsi="Microsoft JhengHei" w:cs="Microsoft JhengHei" w:hint="eastAsia"/>
          <w:b/>
          <w:bCs/>
          <w:sz w:val="20"/>
          <w:lang w:val="hy-AM"/>
        </w:rPr>
        <w:t>․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08</w:t>
      </w:r>
      <w:r w:rsidR="003E7511" w:rsidRPr="003E7511">
        <w:rPr>
          <w:rFonts w:ascii="Microsoft JhengHei" w:eastAsia="Microsoft JhengHei" w:hAnsi="Microsoft JhengHei" w:cs="Microsoft JhengHei" w:hint="eastAsia"/>
          <w:b/>
          <w:bCs/>
          <w:sz w:val="20"/>
          <w:lang w:val="hy-AM"/>
        </w:rPr>
        <w:t>․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2024</w:t>
      </w:r>
      <w:r w:rsidR="00625A0B" w:rsidRPr="004C0BC8">
        <w:rPr>
          <w:rFonts w:ascii="GHEA Grapalat" w:hAnsi="GHEA Grapalat" w:cs="Sylfaen"/>
          <w:b/>
          <w:bCs/>
          <w:sz w:val="20"/>
          <w:lang w:val="hy-AM"/>
        </w:rPr>
        <w:t xml:space="preserve">) </w:t>
      </w:r>
      <w:r w:rsidRPr="004C0BC8">
        <w:rPr>
          <w:rFonts w:ascii="GHEA Grapalat" w:hAnsi="GHEA Grapalat" w:cs="Sylfaen"/>
          <w:b/>
          <w:bCs/>
          <w:sz w:val="20"/>
          <w:lang w:val="hy-AM"/>
        </w:rPr>
        <w:t xml:space="preserve">ժամը </w:t>
      </w:r>
      <w:r w:rsidR="003E7511" w:rsidRPr="003E7511">
        <w:rPr>
          <w:rFonts w:ascii="GHEA Grapalat" w:hAnsi="GHEA Grapalat" w:cs="Sylfaen"/>
          <w:b/>
          <w:bCs/>
          <w:sz w:val="20"/>
          <w:lang w:val="hy-AM"/>
        </w:rPr>
        <w:t>12</w:t>
      </w:r>
      <w:r w:rsidR="00AC2AD5" w:rsidRPr="004C0BC8">
        <w:rPr>
          <w:rFonts w:ascii="GHEA Grapalat" w:hAnsi="GHEA Grapalat" w:cs="Sylfaen"/>
          <w:b/>
          <w:bCs/>
          <w:sz w:val="20"/>
          <w:lang w:val="hy-AM"/>
        </w:rPr>
        <w:t>։</w:t>
      </w:r>
      <w:r w:rsidR="00351C1B" w:rsidRPr="004C0BC8">
        <w:rPr>
          <w:rFonts w:ascii="GHEA Grapalat" w:hAnsi="GHEA Grapalat" w:cs="Sylfaen"/>
          <w:b/>
          <w:bCs/>
          <w:sz w:val="20"/>
          <w:lang w:val="hy-AM"/>
        </w:rPr>
        <w:t>0</w:t>
      </w:r>
      <w:r w:rsidR="0086788B" w:rsidRPr="004C0BC8">
        <w:rPr>
          <w:rFonts w:ascii="GHEA Grapalat" w:hAnsi="GHEA Grapalat" w:cs="Sylfaen"/>
          <w:b/>
          <w:bCs/>
          <w:sz w:val="20"/>
          <w:lang w:val="hy-AM"/>
        </w:rPr>
        <w:t>0</w:t>
      </w:r>
      <w:r w:rsidR="00AC2AD5" w:rsidRPr="004C0BC8">
        <w:rPr>
          <w:rFonts w:ascii="GHEA Grapalat" w:hAnsi="GHEA Grapalat" w:cs="Sylfaen"/>
          <w:b/>
          <w:bCs/>
          <w:sz w:val="20"/>
          <w:lang w:val="hy-AM"/>
        </w:rPr>
        <w:t>-</w:t>
      </w:r>
      <w:r w:rsidRPr="004C0BC8">
        <w:rPr>
          <w:rFonts w:ascii="GHEA Grapalat" w:hAnsi="GHEA Grapalat" w:cs="Sylfaen"/>
          <w:b/>
          <w:bCs/>
          <w:sz w:val="20"/>
          <w:lang w:val="hy-AM"/>
        </w:rPr>
        <w:t xml:space="preserve">ին </w:t>
      </w:r>
      <w:r w:rsidR="00251D93" w:rsidRPr="00251D93">
        <w:rPr>
          <w:rFonts w:ascii="GHEA Grapalat" w:hAnsi="GHEA Grapalat" w:cs="Sylfaen"/>
          <w:b/>
          <w:bCs/>
          <w:sz w:val="20"/>
          <w:lang w:val="hy-AM"/>
        </w:rPr>
        <w:t>Տիգրան Մեծ 4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proofErr w:type="spellStart"/>
      <w:r>
        <w:rPr>
          <w:rFonts w:ascii="GHEA Grapalat" w:hAnsi="GHEA Grapalat" w:cs="Sylfaen"/>
          <w:sz w:val="20"/>
          <w:lang w:val="ru-RU"/>
        </w:rPr>
        <w:t>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բացման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proofErr w:type="spellStart"/>
      <w:r>
        <w:rPr>
          <w:rFonts w:ascii="GHEA Grapalat" w:hAnsi="GHEA Grapalat" w:cs="Sylfaen"/>
          <w:sz w:val="20"/>
          <w:lang w:val="ru-RU"/>
        </w:rPr>
        <w:t>նիստոմ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C028AE0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կամ իրենց մերձավոր </w:t>
      </w:r>
      <w:r>
        <w:rPr>
          <w:rFonts w:ascii="GHEA Grapalat" w:hAnsi="GHEA Grapalat" w:cs="Sylfaen"/>
          <w:szCs w:val="24"/>
          <w:lang w:val="hy-AM"/>
        </w:rPr>
        <w:lastRenderedPageBreak/>
        <w:t>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C9C920C" w14:textId="1E0D692E" w:rsidR="00DB4D00" w:rsidRDefault="00351C1B" w:rsidP="00237CF2">
      <w:pPr>
        <w:pStyle w:val="af6"/>
        <w:spacing w:line="240" w:lineRule="auto"/>
        <w:ind w:firstLine="0"/>
        <w:rPr>
          <w:rFonts w:ascii="GHEA Grapalat" w:hAnsi="GHEA Grapalat"/>
          <w:b/>
          <w:color w:val="FF0000"/>
          <w:sz w:val="20"/>
          <w:u w:val="single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25. </w:t>
      </w:r>
      <w:r w:rsidR="00C605C1">
        <w:rPr>
          <w:rFonts w:ascii="GHEA Grapalat" w:hAnsi="GHEA Grapalat"/>
          <w:b/>
          <w:sz w:val="20"/>
          <w:lang w:val="hy-AM"/>
        </w:rPr>
        <w:t>Փ</w:t>
      </w:r>
      <w:r w:rsidR="00C605C1" w:rsidRPr="00C605C1">
        <w:rPr>
          <w:rFonts w:ascii="GHEA Grapalat" w:hAnsi="GHEA Grapalat"/>
          <w:b/>
          <w:sz w:val="20"/>
          <w:lang w:val="af-ZA"/>
        </w:rPr>
        <w:t>ակ գնանշման հարցման</w:t>
      </w:r>
      <w:r w:rsidR="00E32064">
        <w:rPr>
          <w:rFonts w:ascii="GHEA Grapalat" w:hAnsi="GHEA Grapalat"/>
          <w:b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</w:t>
      </w:r>
      <w:r w:rsidR="00AD1FEB" w:rsidRPr="004C0BC8">
        <w:rPr>
          <w:rFonts w:ascii="GHEA Grapalat" w:hAnsi="GHEA Grapalat"/>
          <w:b/>
          <w:color w:val="FF0000"/>
          <w:sz w:val="20"/>
          <w:lang w:val="af-ZA"/>
        </w:rPr>
        <w:t>(</w:t>
      </w:r>
      <w:r w:rsidR="004C0BC8" w:rsidRPr="004C0BC8">
        <w:rPr>
          <w:rFonts w:ascii="GHEA Grapalat" w:hAnsi="GHEA Grapalat"/>
          <w:b/>
          <w:color w:val="FF0000"/>
          <w:sz w:val="20"/>
          <w:lang w:val="hy-AM"/>
        </w:rPr>
        <w:t xml:space="preserve">հույժ </w:t>
      </w:r>
      <w:r w:rsidR="00AD1FEB" w:rsidRPr="004C0BC8">
        <w:rPr>
          <w:rFonts w:ascii="GHEA Grapalat" w:hAnsi="GHEA Grapalat"/>
          <w:b/>
          <w:color w:val="FF0000"/>
          <w:sz w:val="20"/>
          <w:lang w:val="af-ZA"/>
        </w:rPr>
        <w:t xml:space="preserve">գաղտնի)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674AB4" w:rsidRPr="004C0BC8">
        <w:rPr>
          <w:rFonts w:ascii="GHEA Grapalat" w:hAnsi="GHEA Grapalat"/>
          <w:b/>
          <w:color w:val="FF0000"/>
          <w:sz w:val="20"/>
          <w:lang w:val="af-ZA"/>
        </w:rPr>
        <w:t>(</w:t>
      </w:r>
      <w:r w:rsidR="00674AB4" w:rsidRPr="004C0BC8">
        <w:rPr>
          <w:rFonts w:ascii="GHEA Grapalat" w:hAnsi="GHEA Grapalat"/>
          <w:b/>
          <w:color w:val="FF0000"/>
          <w:sz w:val="20"/>
          <w:lang w:val="hy-AM"/>
        </w:rPr>
        <w:t xml:space="preserve">հույժ </w:t>
      </w:r>
      <w:r w:rsidR="00674AB4" w:rsidRPr="004C0BC8">
        <w:rPr>
          <w:rFonts w:ascii="GHEA Grapalat" w:hAnsi="GHEA Grapalat"/>
          <w:b/>
          <w:color w:val="FF0000"/>
          <w:sz w:val="20"/>
          <w:lang w:val="af-ZA"/>
        </w:rPr>
        <w:t>գաղտնի)</w:t>
      </w:r>
      <w:r w:rsidR="00674AB4">
        <w:rPr>
          <w:rFonts w:ascii="GHEA Grapalat" w:hAnsi="GHEA Grapalat"/>
          <w:b/>
          <w:color w:val="FF0000"/>
          <w:sz w:val="20"/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674AB4">
        <w:rPr>
          <w:rFonts w:ascii="GHEA Grapalat" w:hAnsi="GHEA Grapalat"/>
          <w:b/>
          <w:sz w:val="20"/>
          <w:lang w:val="af-ZA"/>
        </w:rPr>
        <w:t xml:space="preserve"> </w:t>
      </w:r>
      <w:r w:rsidR="00674AB4" w:rsidRPr="00674AB4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674AB4" w:rsidRPr="006C4608">
        <w:rPr>
          <w:rFonts w:ascii="GHEA Grapalat" w:hAnsi="GHEA Grapalat"/>
          <w:b/>
          <w:sz w:val="20"/>
          <w:u w:val="single"/>
          <w:lang w:val="af-ZA"/>
        </w:rPr>
        <w:t xml:space="preserve">Միաժամանակ հաշվի առնել, </w:t>
      </w:r>
      <w:r w:rsidR="00674AB4" w:rsidRPr="006C4608">
        <w:rPr>
          <w:rFonts w:ascii="GHEA Grapalat" w:hAnsi="GHEA Grapalat"/>
          <w:b/>
          <w:sz w:val="20"/>
          <w:u w:val="single"/>
          <w:lang w:val="hy-AM"/>
        </w:rPr>
        <w:t>որ հայտ ներկայացնողը պետք է բավարարի</w:t>
      </w:r>
      <w:r w:rsidR="00674AB4" w:rsidRPr="006C4608">
        <w:rPr>
          <w:rFonts w:ascii="GHEA Grapalat" w:hAnsi="GHEA Grapalat"/>
          <w:b/>
          <w:sz w:val="20"/>
          <w:u w:val="single"/>
          <w:lang w:val="af-ZA"/>
        </w:rPr>
        <w:t xml:space="preserve"> 2023 թվականի մարտի 1-ի թիվ ՀՕ-49-Ն «ՀՀ օրենքը պետական գաղտնիքի մասին» օրենքի 16-րդ և 18-րդ հոդվածների պահանջները։</w:t>
      </w:r>
      <w:r w:rsidR="00674AB4">
        <w:rPr>
          <w:rFonts w:ascii="GHEA Grapalat" w:hAnsi="GHEA Grapalat"/>
          <w:b/>
          <w:color w:val="FF0000"/>
          <w:sz w:val="20"/>
          <w:u w:val="single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</w:t>
      </w:r>
    </w:p>
    <w:p w14:paraId="55F68192" w14:textId="36973B6F" w:rsidR="003E7511" w:rsidRPr="00DB4D00" w:rsidRDefault="00237CF2" w:rsidP="00DB4D00">
      <w:pPr>
        <w:pStyle w:val="af6"/>
        <w:spacing w:line="240" w:lineRule="auto"/>
        <w:ind w:firstLine="284"/>
        <w:rPr>
          <w:rFonts w:ascii="GHEA Grapalat" w:hAnsi="GHEA Grapalat"/>
          <w:b/>
          <w:color w:val="FF0000"/>
          <w:sz w:val="20"/>
          <w:u w:val="single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4C0BC8">
        <w:rPr>
          <w:rFonts w:ascii="GHEA Grapalat" w:hAnsi="GHEA Grapalat"/>
          <w:b/>
          <w:color w:val="FF0000"/>
          <w:sz w:val="20"/>
          <w:lang w:val="af-ZA"/>
        </w:rPr>
        <w:t>/</w:t>
      </w:r>
      <w:r w:rsidR="004C0BC8">
        <w:rPr>
          <w:rFonts w:ascii="GHEA Grapalat" w:hAnsi="GHEA Grapalat"/>
          <w:b/>
          <w:color w:val="FF0000"/>
          <w:sz w:val="20"/>
          <w:lang w:val="af-ZA"/>
        </w:rPr>
        <w:t xml:space="preserve">հույժ </w:t>
      </w:r>
      <w:r w:rsidR="00CB571C" w:rsidRPr="004C0BC8">
        <w:rPr>
          <w:rFonts w:ascii="GHEA Grapalat" w:hAnsi="GHEA Grapalat"/>
          <w:b/>
          <w:color w:val="FF0000"/>
          <w:sz w:val="20"/>
          <w:lang w:val="af-ZA"/>
        </w:rPr>
        <w:t>գաղտնի/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90E8D6A" w14:textId="48550575" w:rsidR="008C3799" w:rsidRPr="004C0BC8" w:rsidRDefault="00FC0ECE" w:rsidP="008C3799">
      <w:pPr>
        <w:pStyle w:val="af6"/>
        <w:spacing w:after="0" w:line="240" w:lineRule="auto"/>
        <w:ind w:firstLine="720"/>
        <w:rPr>
          <w:rFonts w:ascii="Sylfaen" w:eastAsia="Microsoft JhengHei" w:hAnsi="Sylfaen" w:cs="Microsoft JhengHei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հանձնաժողովի </w:t>
      </w:r>
      <w:r w:rsidRPr="004C0BC8">
        <w:rPr>
          <w:rFonts w:ascii="GHEA Grapalat" w:hAnsi="GHEA Grapalat" w:cs="Times New Roman"/>
          <w:sz w:val="20"/>
          <w:lang w:val="af-ZA"/>
        </w:rPr>
        <w:t>քարտուղար `</w:t>
      </w:r>
      <w:r w:rsidR="008C3799" w:rsidRPr="004C0BC8">
        <w:rPr>
          <w:rFonts w:ascii="GHEA Grapalat" w:hAnsi="GHEA Grapalat" w:cs="Times New Roman"/>
          <w:sz w:val="20"/>
          <w:lang w:val="af-ZA"/>
        </w:rPr>
        <w:t xml:space="preserve"> </w:t>
      </w:r>
      <w:r w:rsidR="004C0BC8" w:rsidRPr="004C0BC8">
        <w:rPr>
          <w:rFonts w:ascii="GHEA Grapalat" w:hAnsi="GHEA Grapalat" w:cs="Times New Roman"/>
          <w:sz w:val="20"/>
          <w:lang w:val="af-ZA"/>
        </w:rPr>
        <w:t>Լ</w:t>
      </w:r>
      <w:r w:rsidR="004C0BC8" w:rsidRPr="004C0BC8">
        <w:rPr>
          <w:rFonts w:ascii="Microsoft JhengHei" w:eastAsia="Microsoft JhengHei" w:hAnsi="Microsoft JhengHei" w:cs="Microsoft JhengHei" w:hint="eastAsia"/>
          <w:sz w:val="20"/>
          <w:lang w:val="af-ZA"/>
        </w:rPr>
        <w:t>․</w:t>
      </w:r>
      <w:r w:rsidR="004C0BC8" w:rsidRPr="004C0BC8">
        <w:rPr>
          <w:rFonts w:ascii="GHEA Grapalat" w:hAnsi="GHEA Grapalat" w:cs="Times New Roman"/>
          <w:sz w:val="20"/>
          <w:lang w:val="af-ZA"/>
        </w:rPr>
        <w:t xml:space="preserve"> Գևորգյանին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0D6B7258" w:rsidR="00FC0ECE" w:rsidRPr="008655C4" w:rsidRDefault="00FC0ECE" w:rsidP="004C0BC8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1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5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4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66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4C0BC8">
        <w:rPr>
          <w:rFonts w:ascii="GHEA Grapalat" w:hAnsi="GHEA Grapalat" w:cs="Times New Roman"/>
          <w:sz w:val="20"/>
          <w:u w:val="single"/>
          <w:lang w:val="hy-AM"/>
        </w:rPr>
        <w:t>40</w:t>
      </w:r>
    </w:p>
    <w:p w14:paraId="454FE4CB" w14:textId="77777777" w:rsidR="00FC0ECE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6CFE9601" w:rsidR="00FC0ECE" w:rsidRPr="005E00C5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>
        <w:fldChar w:fldCharType="begin"/>
      </w:r>
      <w:r w:rsidRPr="006C4608">
        <w:rPr>
          <w:lang w:val="af-ZA"/>
        </w:rPr>
        <w:instrText>HYPERLINK "mailto:info@spm.am"</w:instrText>
      </w:r>
      <w:r>
        <w:fldChar w:fldCharType="separate"/>
      </w:r>
      <w:r w:rsidR="004C0BC8" w:rsidRPr="00352F56">
        <w:rPr>
          <w:rStyle w:val="a3"/>
          <w:rFonts w:ascii="GHEA Grapalat" w:hAnsi="GHEA Grapalat"/>
          <w:lang w:val="af-ZA"/>
        </w:rPr>
        <w:t>info@spm.am</w:t>
      </w:r>
      <w:r>
        <w:rPr>
          <w:rStyle w:val="a3"/>
          <w:rFonts w:ascii="GHEA Grapalat" w:hAnsi="GHEA Grapalat"/>
          <w:lang w:val="af-ZA"/>
        </w:rPr>
        <w:fldChar w:fldCharType="end"/>
      </w:r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af6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3841051B" w:rsidR="00FC0ECE" w:rsidRDefault="00FC0ECE" w:rsidP="005E00C5">
      <w:pPr>
        <w:pStyle w:val="af6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4C0BC8">
        <w:rPr>
          <w:rFonts w:ascii="GHEA Grapalat" w:hAnsi="GHEA Grapalat"/>
          <w:lang w:val="af-ZA"/>
        </w:rPr>
        <w:t>Պետական գույքի կառավարման կոմիտե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14:paraId="13ADAA2B" w14:textId="520444D7" w:rsidR="00C605C1" w:rsidRDefault="004C0BC8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B7040">
        <w:rPr>
          <w:rFonts w:ascii="GHEA Grapalat" w:hAnsi="GHEA Grapalat"/>
          <w:b/>
          <w:bCs/>
          <w:lang w:val="af-ZA"/>
        </w:rPr>
        <w:t>ՊԳԿԿ-ՓԳՀԾՁԲ-2024/1</w:t>
      </w:r>
      <w:r w:rsidR="003E7511">
        <w:rPr>
          <w:rFonts w:ascii="GHEA Grapalat" w:hAnsi="GHEA Grapalat"/>
          <w:b/>
          <w:bCs/>
          <w:lang w:val="af-ZA"/>
        </w:rPr>
        <w:t>1</w:t>
      </w:r>
      <w:r>
        <w:rPr>
          <w:rFonts w:ascii="GHEA Grapalat" w:hAnsi="GHEA Grapalat"/>
          <w:b/>
          <w:bCs/>
          <w:lang w:val="af-ZA"/>
        </w:rPr>
        <w:t xml:space="preserve">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</w:p>
    <w:p w14:paraId="0A28A66C" w14:textId="54852A1E" w:rsidR="00C605C1" w:rsidRDefault="00C605C1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փակ գնանշման հարցման  </w:t>
      </w:r>
    </w:p>
    <w:p w14:paraId="09B67E95" w14:textId="01BB5140" w:rsidR="00FC0ECE" w:rsidRDefault="00FC0ECE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14:paraId="3922C510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GHEA Grapalat" w:hAnsi="GHEA Grapalat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3DBAE14B" w:rsidR="00FC0ECE" w:rsidRPr="008D1BDC" w:rsidRDefault="004C0BC8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>
        <w:rPr>
          <w:rFonts w:ascii="GHEA Grapalat" w:hAnsi="GHEA Grapalat"/>
          <w:sz w:val="20"/>
          <w:szCs w:val="22"/>
          <w:u w:val="single"/>
          <w:lang w:val="hy-AM"/>
        </w:rPr>
        <w:t>Պետական գույքի կառավարման կոմիտեի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8D1B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FB7040">
        <w:rPr>
          <w:rFonts w:ascii="GHEA Grapalat" w:hAnsi="GHEA Grapalat"/>
          <w:b/>
          <w:bCs/>
          <w:sz w:val="20"/>
          <w:lang w:val="af-ZA"/>
        </w:rPr>
        <w:t>ՊԳԿԿ-ՓԳՀԾՁԲ-2024/1</w:t>
      </w:r>
      <w:r w:rsidR="003E7511">
        <w:rPr>
          <w:rFonts w:ascii="GHEA Grapalat" w:hAnsi="GHEA Grapalat"/>
          <w:b/>
          <w:bCs/>
          <w:sz w:val="20"/>
          <w:lang w:val="af-ZA"/>
        </w:rPr>
        <w:t>1</w:t>
      </w:r>
      <w:r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փակ գնանշման հարցման  </w:t>
      </w:r>
      <w:r w:rsidR="00FC0ECE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FC0ECE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r>
        <w:rPr>
          <w:rFonts w:ascii="GHEA Grapalat" w:hAnsi="GHEA Grapalat" w:cs="Arial"/>
          <w:vertAlign w:val="superscript"/>
          <w:lang w:val="es-ES"/>
        </w:rPr>
        <w:t>հարկի վճարողի հաշվառման համարը</w:t>
      </w:r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r>
        <w:rPr>
          <w:rFonts w:ascii="GHEA Grapalat" w:hAnsi="GHEA Grapalat" w:cs="Arial"/>
          <w:vertAlign w:val="superscript"/>
          <w:lang w:val="es-ES"/>
        </w:rPr>
        <w:t>էլեկտրոնային փոստի հասցեն</w:t>
      </w:r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3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>
        <w:rPr>
          <w:rFonts w:ascii="GHEA Grapalat" w:hAnsi="GHEA Grapalat" w:cs="Arial"/>
          <w:sz w:val="18"/>
          <w:szCs w:val="18"/>
          <w:lang w:val="es-ES"/>
        </w:rPr>
        <w:t xml:space="preserve">  N 2</w:t>
      </w:r>
    </w:p>
    <w:p w14:paraId="4A11D77F" w14:textId="73D458E0" w:rsidR="00C605C1" w:rsidRDefault="004C0BC8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FB7040">
        <w:rPr>
          <w:rFonts w:ascii="GHEA Grapalat" w:hAnsi="GHEA Grapalat"/>
          <w:b/>
          <w:bCs/>
          <w:lang w:val="af-ZA"/>
        </w:rPr>
        <w:t>ՊԳԿԿ-ՓԳՀԾՁԲ-2024/1</w:t>
      </w:r>
      <w:r w:rsidR="003E7511">
        <w:rPr>
          <w:rFonts w:ascii="GHEA Grapalat" w:hAnsi="GHEA Grapalat"/>
          <w:b/>
          <w:bCs/>
          <w:lang w:val="af-ZA"/>
        </w:rPr>
        <w:t>1</w:t>
      </w:r>
      <w:r>
        <w:rPr>
          <w:rFonts w:ascii="GHEA Grapalat" w:hAnsi="GHEA Grapalat"/>
          <w:b/>
          <w:bCs/>
          <w:lang w:val="af-ZA"/>
        </w:rPr>
        <w:t xml:space="preserve">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ծածկագրով </w:t>
      </w:r>
    </w:p>
    <w:p w14:paraId="3778F796" w14:textId="6F5C7C1A" w:rsidR="00FC0ECE" w:rsidRDefault="00C605C1" w:rsidP="00C605C1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փակ գնանշման հարցման  </w:t>
      </w:r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նախաորակավորման </w:t>
      </w:r>
    </w:p>
    <w:p w14:paraId="36BEFEFF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58495DBE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6D5F00E8" w14:textId="77777777" w:rsidR="00FC0ECE" w:rsidRPr="007E2EA1" w:rsidRDefault="00FC0ECE" w:rsidP="00FC0ECE">
      <w:pPr>
        <w:jc w:val="both"/>
        <w:rPr>
          <w:rFonts w:ascii="GHEA Grapalat" w:hAnsi="GHEA Grapalat" w:cs="Sylfaen"/>
          <w:b/>
          <w:sz w:val="20"/>
          <w:szCs w:val="20"/>
          <w:lang w:val="es-ES"/>
        </w:rPr>
      </w:pP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տարվա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և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դրան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նախորդող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երեք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տարիների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ընթացքում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իրականացրել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է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ներքոհիշյալ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ապրանքների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մատակարարումները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2575"/>
        <w:gridCol w:w="6131"/>
      </w:tblGrid>
      <w:tr w:rsidR="00FC0ECE" w:rsidRPr="00787C31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3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D6240B" w:rsidRPr="00D82256" w:rsidRDefault="00D6240B">
      <w:pPr>
        <w:rPr>
          <w:lang w:val="x-none"/>
        </w:rPr>
      </w:pPr>
    </w:p>
    <w:sectPr w:rsidR="00D6240B" w:rsidRPr="00D82256" w:rsidSect="004C0BC8">
      <w:pgSz w:w="11906" w:h="16838"/>
      <w:pgMar w:top="1080" w:right="83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721C1"/>
    <w:rsid w:val="00087DFB"/>
    <w:rsid w:val="00090FAB"/>
    <w:rsid w:val="000C71F9"/>
    <w:rsid w:val="000E48E7"/>
    <w:rsid w:val="00110817"/>
    <w:rsid w:val="00122A08"/>
    <w:rsid w:val="00165CE8"/>
    <w:rsid w:val="001A6ED3"/>
    <w:rsid w:val="001C2CC2"/>
    <w:rsid w:val="001D02F1"/>
    <w:rsid w:val="001D0A85"/>
    <w:rsid w:val="001D34E0"/>
    <w:rsid w:val="001D4C27"/>
    <w:rsid w:val="00237CF2"/>
    <w:rsid w:val="00251D93"/>
    <w:rsid w:val="0028763E"/>
    <w:rsid w:val="00295B25"/>
    <w:rsid w:val="002A5A7E"/>
    <w:rsid w:val="002B47C1"/>
    <w:rsid w:val="00302A3C"/>
    <w:rsid w:val="00314F60"/>
    <w:rsid w:val="003247EC"/>
    <w:rsid w:val="00324AAE"/>
    <w:rsid w:val="003432A3"/>
    <w:rsid w:val="00350FF2"/>
    <w:rsid w:val="00351C1B"/>
    <w:rsid w:val="0038205E"/>
    <w:rsid w:val="0038676A"/>
    <w:rsid w:val="003A0574"/>
    <w:rsid w:val="003A5575"/>
    <w:rsid w:val="003B268D"/>
    <w:rsid w:val="003D40F1"/>
    <w:rsid w:val="003E47E1"/>
    <w:rsid w:val="003E7511"/>
    <w:rsid w:val="003F7A4A"/>
    <w:rsid w:val="00457380"/>
    <w:rsid w:val="0047062F"/>
    <w:rsid w:val="00476771"/>
    <w:rsid w:val="004A334A"/>
    <w:rsid w:val="004C0BC8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74AB4"/>
    <w:rsid w:val="006875EA"/>
    <w:rsid w:val="00697178"/>
    <w:rsid w:val="006C4608"/>
    <w:rsid w:val="006C6D46"/>
    <w:rsid w:val="006D10F0"/>
    <w:rsid w:val="006F3BCF"/>
    <w:rsid w:val="00702209"/>
    <w:rsid w:val="007078BD"/>
    <w:rsid w:val="007729CC"/>
    <w:rsid w:val="00783E4A"/>
    <w:rsid w:val="00787C31"/>
    <w:rsid w:val="00797A56"/>
    <w:rsid w:val="007C2004"/>
    <w:rsid w:val="007E2628"/>
    <w:rsid w:val="007E2EA1"/>
    <w:rsid w:val="007F2D7E"/>
    <w:rsid w:val="007F5059"/>
    <w:rsid w:val="0080737E"/>
    <w:rsid w:val="00820A68"/>
    <w:rsid w:val="008655C4"/>
    <w:rsid w:val="0086788B"/>
    <w:rsid w:val="00880213"/>
    <w:rsid w:val="008913EA"/>
    <w:rsid w:val="00893AF0"/>
    <w:rsid w:val="008A6AB2"/>
    <w:rsid w:val="008C3799"/>
    <w:rsid w:val="008D1BDC"/>
    <w:rsid w:val="0094638E"/>
    <w:rsid w:val="00994109"/>
    <w:rsid w:val="009967D1"/>
    <w:rsid w:val="009A7F94"/>
    <w:rsid w:val="009B1258"/>
    <w:rsid w:val="009C5C54"/>
    <w:rsid w:val="009F1C5F"/>
    <w:rsid w:val="00A145C5"/>
    <w:rsid w:val="00A21919"/>
    <w:rsid w:val="00A2686E"/>
    <w:rsid w:val="00A439F6"/>
    <w:rsid w:val="00A9621A"/>
    <w:rsid w:val="00AC2AD5"/>
    <w:rsid w:val="00AC5163"/>
    <w:rsid w:val="00AD1FEB"/>
    <w:rsid w:val="00AF45F8"/>
    <w:rsid w:val="00AF736C"/>
    <w:rsid w:val="00B10DCC"/>
    <w:rsid w:val="00B50135"/>
    <w:rsid w:val="00B7331C"/>
    <w:rsid w:val="00B80B7E"/>
    <w:rsid w:val="00BB4EB7"/>
    <w:rsid w:val="00BC042D"/>
    <w:rsid w:val="00BE1045"/>
    <w:rsid w:val="00BE7209"/>
    <w:rsid w:val="00C3396D"/>
    <w:rsid w:val="00C4511D"/>
    <w:rsid w:val="00C605C1"/>
    <w:rsid w:val="00CB571C"/>
    <w:rsid w:val="00CF0708"/>
    <w:rsid w:val="00D437FE"/>
    <w:rsid w:val="00D522C6"/>
    <w:rsid w:val="00D52326"/>
    <w:rsid w:val="00D54612"/>
    <w:rsid w:val="00D6240B"/>
    <w:rsid w:val="00D65075"/>
    <w:rsid w:val="00D65A80"/>
    <w:rsid w:val="00D82256"/>
    <w:rsid w:val="00DB4D00"/>
    <w:rsid w:val="00DC6B38"/>
    <w:rsid w:val="00DC7D22"/>
    <w:rsid w:val="00E05E3C"/>
    <w:rsid w:val="00E0620A"/>
    <w:rsid w:val="00E15E7D"/>
    <w:rsid w:val="00E23C53"/>
    <w:rsid w:val="00E26DD2"/>
    <w:rsid w:val="00E32064"/>
    <w:rsid w:val="00E521CF"/>
    <w:rsid w:val="00E86E4B"/>
    <w:rsid w:val="00E9577A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B7040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a3">
    <w:name w:val="Hyperlink"/>
    <w:unhideWhenUsed/>
    <w:rsid w:val="00FC0ECE"/>
    <w:rPr>
      <w:color w:val="0000FF"/>
      <w:u w:val="single"/>
    </w:rPr>
  </w:style>
  <w:style w:type="character" w:styleId="a4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FC0ECE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11">
    <w:name w:val="index 1"/>
    <w:basedOn w:val="a"/>
    <w:next w:val="a"/>
    <w:autoRedefine/>
    <w:uiPriority w:val="99"/>
    <w:semiHidden/>
    <w:unhideWhenUsed/>
    <w:rsid w:val="00FC0ECE"/>
    <w:pPr>
      <w:ind w:left="240" w:hanging="240"/>
    </w:pPr>
  </w:style>
  <w:style w:type="paragraph" w:styleId="a6">
    <w:name w:val="footnote text"/>
    <w:basedOn w:val="a"/>
    <w:link w:val="a7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c">
    <w:name w:val="footer"/>
    <w:basedOn w:val="a"/>
    <w:link w:val="ad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index heading"/>
    <w:basedOn w:val="a"/>
    <w:next w:val="1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af">
    <w:name w:val="endnote text"/>
    <w:basedOn w:val="a"/>
    <w:link w:val="af0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1">
    <w:name w:val="Title"/>
    <w:basedOn w:val="a"/>
    <w:link w:val="af2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af2">
    <w:name w:val="Заголовок Знак"/>
    <w:basedOn w:val="a0"/>
    <w:link w:val="af1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3">
    <w:name w:val="Body Text"/>
    <w:basedOn w:val="a"/>
    <w:link w:val="af4"/>
    <w:uiPriority w:val="99"/>
    <w:semiHidden/>
    <w:unhideWhenUsed/>
    <w:rsid w:val="00FC0EC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с отступом Знак"/>
    <w:aliases w:val="Char Знак"/>
    <w:basedOn w:val="a0"/>
    <w:locked/>
    <w:rsid w:val="00FC0ECE"/>
    <w:rPr>
      <w:rFonts w:ascii="Arial LatArm" w:hAnsi="Arial LatArm" w:hint="default"/>
      <w:i/>
      <w:iCs w:val="0"/>
      <w:lang w:val="en-AU"/>
    </w:rPr>
  </w:style>
  <w:style w:type="paragraph" w:styleId="af6">
    <w:name w:val="Body Text Indent"/>
    <w:aliases w:val="Char"/>
    <w:basedOn w:val="a"/>
    <w:link w:val="12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12">
    <w:name w:val="Основной текст с отступом Знак1"/>
    <w:aliases w:val="Char Знак1"/>
    <w:basedOn w:val="a0"/>
    <w:link w:val="af6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33">
    <w:name w:val="Body Text Indent 3"/>
    <w:basedOn w:val="a"/>
    <w:link w:val="34"/>
    <w:uiPriority w:val="99"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7">
    <w:name w:val="Block Text"/>
    <w:basedOn w:val="a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af8">
    <w:name w:val="Document Map"/>
    <w:basedOn w:val="a"/>
    <w:link w:val="af9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a">
    <w:name w:val="annotation subject"/>
    <w:basedOn w:val="a8"/>
    <w:next w:val="a8"/>
    <w:link w:val="afb"/>
    <w:uiPriority w:val="99"/>
    <w:semiHidden/>
    <w:unhideWhenUsed/>
    <w:rsid w:val="00FC0ECE"/>
    <w:rPr>
      <w:b/>
      <w:bCs/>
    </w:rPr>
  </w:style>
  <w:style w:type="character" w:customStyle="1" w:styleId="afb">
    <w:name w:val="Тема примечания Знак"/>
    <w:basedOn w:val="a9"/>
    <w:link w:val="afa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Balloon Text"/>
    <w:basedOn w:val="a"/>
    <w:link w:val="afd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e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ff">
    <w:name w:val="Абзац списка Знак"/>
    <w:link w:val="aff0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aff0">
    <w:name w:val="List Paragraph"/>
    <w:basedOn w:val="a"/>
    <w:link w:val="aff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a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a"/>
    <w:next w:val="a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a"/>
    <w:next w:val="a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1">
    <w:name w:val="footnote reference"/>
    <w:semiHidden/>
    <w:unhideWhenUsed/>
    <w:rsid w:val="00FC0ECE"/>
    <w:rPr>
      <w:vertAlign w:val="superscript"/>
    </w:rPr>
  </w:style>
  <w:style w:type="character" w:styleId="aff2">
    <w:name w:val="annotation reference"/>
    <w:semiHidden/>
    <w:unhideWhenUsed/>
    <w:rsid w:val="00FC0ECE"/>
    <w:rPr>
      <w:sz w:val="16"/>
      <w:szCs w:val="16"/>
    </w:rPr>
  </w:style>
  <w:style w:type="character" w:styleId="aff3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aff4">
    <w:name w:val="Table Grid"/>
    <w:basedOn w:val="a1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Unresolved Mention"/>
    <w:basedOn w:val="a0"/>
    <w:uiPriority w:val="99"/>
    <w:semiHidden/>
    <w:unhideWhenUsed/>
    <w:rsid w:val="004C0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User</cp:lastModifiedBy>
  <cp:revision>162</cp:revision>
  <dcterms:created xsi:type="dcterms:W3CDTF">2023-08-02T06:43:00Z</dcterms:created>
  <dcterms:modified xsi:type="dcterms:W3CDTF">2024-08-01T11:30:00Z</dcterms:modified>
</cp:coreProperties>
</file>