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3EAC8" w14:textId="77777777" w:rsidR="00D31568" w:rsidRPr="00215FC7" w:rsidRDefault="00D31568" w:rsidP="00D31568">
      <w:pPr>
        <w:tabs>
          <w:tab w:val="left" w:pos="0"/>
        </w:tabs>
        <w:jc w:val="center"/>
        <w:rPr>
          <w:rFonts w:ascii="GHEA Grapalat" w:hAnsi="GHEA Grapalat" w:cstheme="majorHAnsi"/>
          <w:b/>
          <w:color w:val="000000" w:themeColor="text1"/>
          <w:sz w:val="24"/>
          <w:szCs w:val="24"/>
        </w:rPr>
      </w:pPr>
      <w:r w:rsidRPr="00215FC7">
        <w:rPr>
          <w:rFonts w:ascii="GHEA Grapalat" w:hAnsi="GHEA Grapalat" w:cstheme="majorHAnsi"/>
          <w:b/>
          <w:color w:val="000000" w:themeColor="text1"/>
          <w:sz w:val="24"/>
          <w:szCs w:val="24"/>
        </w:rPr>
        <w:t>Procurement of server farm for the needs of the social sector</w:t>
      </w:r>
    </w:p>
    <w:p w14:paraId="56B2C549" w14:textId="77777777" w:rsidR="00D31568" w:rsidRPr="00215FC7" w:rsidRDefault="00D31568" w:rsidP="00D31568">
      <w:pPr>
        <w:tabs>
          <w:tab w:val="left" w:pos="0"/>
        </w:tabs>
        <w:jc w:val="center"/>
        <w:rPr>
          <w:rFonts w:ascii="GHEA Grapalat" w:hAnsi="GHEA Grapalat" w:cstheme="majorHAnsi"/>
          <w:b/>
          <w:color w:val="000000" w:themeColor="text1"/>
          <w:sz w:val="24"/>
          <w:szCs w:val="24"/>
        </w:rPr>
      </w:pPr>
    </w:p>
    <w:p w14:paraId="23475810" w14:textId="77777777" w:rsidR="00D31568" w:rsidRPr="00215FC7" w:rsidRDefault="00D31568" w:rsidP="00D31568">
      <w:pPr>
        <w:tabs>
          <w:tab w:val="left" w:pos="0"/>
        </w:tabs>
        <w:jc w:val="center"/>
        <w:rPr>
          <w:rFonts w:ascii="GHEA Grapalat" w:hAnsi="GHEA Grapalat" w:cstheme="majorHAnsi"/>
          <w:b/>
          <w:color w:val="000000" w:themeColor="text1"/>
          <w:sz w:val="24"/>
          <w:szCs w:val="24"/>
        </w:rPr>
      </w:pPr>
      <w:r w:rsidRPr="00215FC7">
        <w:rPr>
          <w:rFonts w:ascii="GHEA Grapalat" w:hAnsi="GHEA Grapalat" w:cstheme="majorHAnsi"/>
          <w:b/>
          <w:color w:val="000000" w:themeColor="text1"/>
          <w:sz w:val="24"/>
          <w:szCs w:val="24"/>
        </w:rPr>
        <w:t>ICB No: SPAP II G-2-1-1/17</w:t>
      </w:r>
    </w:p>
    <w:p w14:paraId="030A2FCA" w14:textId="77777777" w:rsidR="00D31568" w:rsidRPr="00215FC7" w:rsidRDefault="00D31568" w:rsidP="00D31568">
      <w:pPr>
        <w:tabs>
          <w:tab w:val="left" w:pos="0"/>
        </w:tabs>
        <w:jc w:val="center"/>
        <w:rPr>
          <w:rFonts w:ascii="GHEA Grapalat" w:hAnsi="GHEA Grapalat" w:cstheme="majorHAnsi"/>
          <w:b/>
          <w:color w:val="000000" w:themeColor="text1"/>
          <w:sz w:val="24"/>
          <w:szCs w:val="24"/>
        </w:rPr>
      </w:pPr>
    </w:p>
    <w:p w14:paraId="38D800EB" w14:textId="3932FB93" w:rsidR="00D31568" w:rsidRDefault="00D31568" w:rsidP="00D31568">
      <w:pPr>
        <w:tabs>
          <w:tab w:val="left" w:pos="0"/>
        </w:tabs>
        <w:jc w:val="center"/>
        <w:rPr>
          <w:rFonts w:ascii="GHEA Grapalat" w:hAnsi="GHEA Grapalat" w:cstheme="majorHAnsi"/>
          <w:b/>
          <w:color w:val="000000" w:themeColor="text1"/>
          <w:sz w:val="24"/>
          <w:szCs w:val="24"/>
        </w:rPr>
      </w:pPr>
      <w:r w:rsidRPr="00215FC7">
        <w:rPr>
          <w:rFonts w:ascii="GHEA Grapalat" w:hAnsi="GHEA Grapalat" w:cstheme="majorHAnsi"/>
          <w:b/>
          <w:color w:val="000000" w:themeColor="text1"/>
          <w:sz w:val="24"/>
          <w:szCs w:val="24"/>
        </w:rPr>
        <w:t xml:space="preserve">CLARIFICATION </w:t>
      </w:r>
      <w:r>
        <w:rPr>
          <w:rFonts w:ascii="GHEA Grapalat" w:hAnsi="GHEA Grapalat" w:cstheme="majorHAnsi"/>
          <w:b/>
          <w:color w:val="000000" w:themeColor="text1"/>
          <w:sz w:val="24"/>
          <w:szCs w:val="24"/>
        </w:rPr>
        <w:t>7</w:t>
      </w:r>
    </w:p>
    <w:p w14:paraId="533D3E4C" w14:textId="13B96414" w:rsidR="00F00DA2" w:rsidRDefault="00F00DA2">
      <w:pPr>
        <w:spacing w:line="200" w:lineRule="exact"/>
        <w:rPr>
          <w:sz w:val="20"/>
          <w:szCs w:val="20"/>
        </w:rPr>
      </w:pPr>
    </w:p>
    <w:p w14:paraId="4A410C5C" w14:textId="3C840EFF" w:rsidR="00D31568" w:rsidRDefault="00D31568">
      <w:pPr>
        <w:spacing w:line="200" w:lineRule="exact"/>
        <w:rPr>
          <w:sz w:val="20"/>
          <w:szCs w:val="20"/>
        </w:rPr>
      </w:pPr>
    </w:p>
    <w:p w14:paraId="0FE56229" w14:textId="77777777" w:rsidR="00D31568" w:rsidRDefault="00D31568" w:rsidP="00D31568">
      <w:pPr>
        <w:spacing w:before="13" w:line="240" w:lineRule="exact"/>
        <w:rPr>
          <w:sz w:val="24"/>
          <w:szCs w:val="24"/>
        </w:rPr>
      </w:pPr>
    </w:p>
    <w:p w14:paraId="314023DB" w14:textId="1D498389" w:rsidR="00D31568" w:rsidRPr="00E01CA0" w:rsidRDefault="00D31568" w:rsidP="00D31568">
      <w:pPr>
        <w:pStyle w:val="BodyText"/>
        <w:numPr>
          <w:ilvl w:val="0"/>
          <w:numId w:val="1"/>
        </w:numPr>
        <w:ind w:right="161"/>
        <w:jc w:val="both"/>
      </w:pPr>
      <w:r>
        <w:rPr>
          <w:color w:val="3A3B3D"/>
          <w:w w:val="110"/>
        </w:rPr>
        <w:t>Kindly</w:t>
      </w:r>
      <w:r>
        <w:rPr>
          <w:color w:val="3A3B3D"/>
          <w:spacing w:val="41"/>
          <w:w w:val="110"/>
        </w:rPr>
        <w:t xml:space="preserve"> </w:t>
      </w:r>
      <w:r>
        <w:rPr>
          <w:color w:val="3A3B3D"/>
          <w:w w:val="110"/>
        </w:rPr>
        <w:t>ask</w:t>
      </w:r>
      <w:r>
        <w:rPr>
          <w:color w:val="3A3B3D"/>
          <w:spacing w:val="24"/>
          <w:w w:val="110"/>
        </w:rPr>
        <w:t xml:space="preserve"> </w:t>
      </w:r>
      <w:r>
        <w:rPr>
          <w:color w:val="3A3B3D"/>
          <w:w w:val="110"/>
        </w:rPr>
        <w:t>you</w:t>
      </w:r>
      <w:r>
        <w:rPr>
          <w:color w:val="3A3B3D"/>
          <w:spacing w:val="46"/>
          <w:w w:val="110"/>
        </w:rPr>
        <w:t xml:space="preserve"> </w:t>
      </w:r>
      <w:r>
        <w:rPr>
          <w:color w:val="242428"/>
          <w:w w:val="110"/>
        </w:rPr>
        <w:t>to</w:t>
      </w:r>
      <w:r>
        <w:rPr>
          <w:color w:val="242428"/>
          <w:spacing w:val="28"/>
          <w:w w:val="110"/>
        </w:rPr>
        <w:t xml:space="preserve"> </w:t>
      </w:r>
      <w:r>
        <w:rPr>
          <w:color w:val="242428"/>
          <w:w w:val="110"/>
        </w:rPr>
        <w:t>provide</w:t>
      </w:r>
      <w:r>
        <w:rPr>
          <w:color w:val="242428"/>
          <w:spacing w:val="48"/>
          <w:w w:val="110"/>
        </w:rPr>
        <w:t xml:space="preserve"> </w:t>
      </w:r>
      <w:r>
        <w:rPr>
          <w:color w:val="242428"/>
          <w:w w:val="110"/>
        </w:rPr>
        <w:t>the</w:t>
      </w:r>
      <w:r>
        <w:rPr>
          <w:color w:val="242428"/>
          <w:spacing w:val="35"/>
          <w:w w:val="110"/>
        </w:rPr>
        <w:t xml:space="preserve"> </w:t>
      </w:r>
      <w:r>
        <w:rPr>
          <w:color w:val="242428"/>
          <w:w w:val="110"/>
        </w:rPr>
        <w:t>plot</w:t>
      </w:r>
      <w:r>
        <w:rPr>
          <w:color w:val="242428"/>
          <w:spacing w:val="43"/>
          <w:w w:val="110"/>
        </w:rPr>
        <w:t xml:space="preserve"> </w:t>
      </w:r>
      <w:r>
        <w:rPr>
          <w:color w:val="242428"/>
          <w:w w:val="110"/>
        </w:rPr>
        <w:t>of</w:t>
      </w:r>
      <w:r>
        <w:rPr>
          <w:color w:val="242428"/>
          <w:spacing w:val="36"/>
          <w:w w:val="110"/>
        </w:rPr>
        <w:t xml:space="preserve"> </w:t>
      </w:r>
      <w:r>
        <w:rPr>
          <w:color w:val="242428"/>
          <w:w w:val="110"/>
        </w:rPr>
        <w:t>the</w:t>
      </w:r>
      <w:r>
        <w:rPr>
          <w:color w:val="242428"/>
          <w:spacing w:val="42"/>
          <w:w w:val="110"/>
        </w:rPr>
        <w:t xml:space="preserve"> </w:t>
      </w:r>
      <w:r>
        <w:rPr>
          <w:color w:val="242428"/>
          <w:w w:val="110"/>
        </w:rPr>
        <w:t>Client's</w:t>
      </w:r>
      <w:r>
        <w:rPr>
          <w:color w:val="242428"/>
          <w:spacing w:val="33"/>
          <w:w w:val="110"/>
        </w:rPr>
        <w:t xml:space="preserve"> </w:t>
      </w:r>
      <w:r>
        <w:rPr>
          <w:color w:val="242428"/>
          <w:w w:val="110"/>
        </w:rPr>
        <w:t>letter</w:t>
      </w:r>
      <w:r>
        <w:rPr>
          <w:color w:val="242428"/>
          <w:spacing w:val="39"/>
          <w:w w:val="110"/>
        </w:rPr>
        <w:t xml:space="preserve"> </w:t>
      </w:r>
      <w:r>
        <w:rPr>
          <w:color w:val="242428"/>
          <w:w w:val="110"/>
        </w:rPr>
        <w:t>of</w:t>
      </w:r>
      <w:r>
        <w:rPr>
          <w:color w:val="242428"/>
          <w:spacing w:val="36"/>
          <w:w w:val="110"/>
        </w:rPr>
        <w:t xml:space="preserve"> </w:t>
      </w:r>
      <w:r>
        <w:rPr>
          <w:color w:val="242428"/>
          <w:w w:val="110"/>
        </w:rPr>
        <w:t>March</w:t>
      </w:r>
      <w:r>
        <w:rPr>
          <w:color w:val="242428"/>
          <w:spacing w:val="52"/>
          <w:w w:val="110"/>
        </w:rPr>
        <w:t xml:space="preserve"> </w:t>
      </w:r>
      <w:r>
        <w:rPr>
          <w:color w:val="242428"/>
          <w:w w:val="110"/>
        </w:rPr>
        <w:t>29,</w:t>
      </w:r>
      <w:r>
        <w:rPr>
          <w:color w:val="242428"/>
          <w:spacing w:val="35"/>
          <w:w w:val="110"/>
        </w:rPr>
        <w:t xml:space="preserve"> </w:t>
      </w:r>
      <w:r>
        <w:rPr>
          <w:color w:val="242428"/>
          <w:w w:val="110"/>
        </w:rPr>
        <w:t>2023</w:t>
      </w:r>
      <w:r>
        <w:rPr>
          <w:color w:val="242428"/>
          <w:spacing w:val="30"/>
          <w:w w:val="110"/>
        </w:rPr>
        <w:t xml:space="preserve"> </w:t>
      </w:r>
      <w:r>
        <w:rPr>
          <w:color w:val="242428"/>
          <w:w w:val="110"/>
        </w:rPr>
        <w:t>regarding</w:t>
      </w:r>
      <w:r>
        <w:rPr>
          <w:color w:val="242428"/>
          <w:spacing w:val="50"/>
          <w:w w:val="110"/>
        </w:rPr>
        <w:t xml:space="preserve"> </w:t>
      </w:r>
      <w:r>
        <w:rPr>
          <w:color w:val="242428"/>
          <w:w w:val="110"/>
        </w:rPr>
        <w:t xml:space="preserve">the </w:t>
      </w:r>
      <w:r w:rsidRPr="00D31568">
        <w:rPr>
          <w:color w:val="3A3B3D"/>
          <w:w w:val="115"/>
        </w:rPr>
        <w:t>extension</w:t>
      </w:r>
      <w:r w:rsidRPr="00D31568">
        <w:rPr>
          <w:color w:val="3A3B3D"/>
          <w:spacing w:val="-24"/>
          <w:w w:val="115"/>
        </w:rPr>
        <w:t xml:space="preserve"> </w:t>
      </w:r>
      <w:r w:rsidRPr="00D31568">
        <w:rPr>
          <w:color w:val="242428"/>
          <w:w w:val="115"/>
        </w:rPr>
        <w:t>of the</w:t>
      </w:r>
      <w:r w:rsidRPr="00D31568">
        <w:rPr>
          <w:color w:val="242428"/>
          <w:spacing w:val="-33"/>
          <w:w w:val="115"/>
        </w:rPr>
        <w:t xml:space="preserve"> </w:t>
      </w:r>
      <w:r w:rsidRPr="00D31568">
        <w:rPr>
          <w:color w:val="242428"/>
          <w:w w:val="115"/>
        </w:rPr>
        <w:t>bid</w:t>
      </w:r>
      <w:r w:rsidRPr="00D31568">
        <w:rPr>
          <w:color w:val="242428"/>
          <w:spacing w:val="-20"/>
          <w:w w:val="115"/>
        </w:rPr>
        <w:t xml:space="preserve"> </w:t>
      </w:r>
      <w:r w:rsidRPr="00D31568">
        <w:rPr>
          <w:color w:val="242428"/>
          <w:w w:val="115"/>
        </w:rPr>
        <w:t>submission</w:t>
      </w:r>
      <w:r w:rsidRPr="00D31568">
        <w:rPr>
          <w:color w:val="242428"/>
          <w:spacing w:val="-19"/>
          <w:w w:val="115"/>
        </w:rPr>
        <w:t xml:space="preserve"> </w:t>
      </w:r>
      <w:r w:rsidRPr="00D31568">
        <w:rPr>
          <w:color w:val="242428"/>
          <w:w w:val="115"/>
        </w:rPr>
        <w:t>period</w:t>
      </w:r>
      <w:r>
        <w:rPr>
          <w:color w:val="242428"/>
          <w:w w:val="115"/>
        </w:rPr>
        <w:t>?</w:t>
      </w:r>
    </w:p>
    <w:p w14:paraId="2847EA4D" w14:textId="69F4430B" w:rsidR="00E01CA0" w:rsidRDefault="00E01CA0" w:rsidP="00E01CA0">
      <w:pPr>
        <w:pStyle w:val="BodyText"/>
        <w:ind w:left="720" w:right="161"/>
        <w:jc w:val="both"/>
        <w:rPr>
          <w:color w:val="3A3B3D"/>
          <w:w w:val="110"/>
        </w:rPr>
      </w:pPr>
    </w:p>
    <w:p w14:paraId="5ABCEA3E" w14:textId="77777777" w:rsidR="00E01CA0" w:rsidRPr="00D31568" w:rsidRDefault="00E01CA0" w:rsidP="00E01CA0">
      <w:pPr>
        <w:pStyle w:val="BodyText"/>
        <w:ind w:left="720" w:right="161"/>
        <w:jc w:val="both"/>
      </w:pPr>
    </w:p>
    <w:p w14:paraId="18A48579" w14:textId="77777777" w:rsidR="00E01CA0" w:rsidRPr="00E01CA0" w:rsidRDefault="00E01CA0" w:rsidP="00E01CA0">
      <w:pPr>
        <w:pStyle w:val="ListParagraph"/>
        <w:numPr>
          <w:ilvl w:val="0"/>
          <w:numId w:val="2"/>
        </w:numPr>
        <w:rPr>
          <w:rFonts w:ascii="Times New Roman" w:eastAsia="Times New Roman" w:hAnsi="Times New Roman"/>
          <w:color w:val="1F497D" w:themeColor="text2"/>
          <w:w w:val="110"/>
        </w:rPr>
      </w:pPr>
      <w:r w:rsidRPr="00E01CA0">
        <w:rPr>
          <w:rFonts w:ascii="Times New Roman" w:eastAsia="Times New Roman" w:hAnsi="Times New Roman"/>
          <w:color w:val="1F497D" w:themeColor="text2"/>
          <w:w w:val="110"/>
        </w:rPr>
        <w:t xml:space="preserve">Replying to your request please be aware that all the required information for the Bidders can be found in the bidding documents and in the amendments of the bidding documents available at </w:t>
      </w:r>
      <w:hyperlink r:id="rId5" w:history="1">
        <w:r w:rsidRPr="00E01CA0">
          <w:rPr>
            <w:rFonts w:ascii="Times New Roman" w:eastAsia="Times New Roman" w:hAnsi="Times New Roman"/>
            <w:color w:val="1F497D" w:themeColor="text2"/>
            <w:w w:val="110"/>
          </w:rPr>
          <w:t>www.gnumner.am</w:t>
        </w:r>
      </w:hyperlink>
      <w:r w:rsidRPr="00E01CA0">
        <w:rPr>
          <w:rFonts w:ascii="Times New Roman" w:eastAsia="Times New Roman" w:hAnsi="Times New Roman"/>
          <w:color w:val="1F497D" w:themeColor="text2"/>
          <w:w w:val="110"/>
        </w:rPr>
        <w:t xml:space="preserve">  website.</w:t>
      </w:r>
    </w:p>
    <w:p w14:paraId="1B5BFB45" w14:textId="77777777" w:rsidR="00D31568" w:rsidRPr="00D31568" w:rsidRDefault="00D31568" w:rsidP="00E01CA0">
      <w:pPr>
        <w:pStyle w:val="BodyText"/>
        <w:ind w:left="1440" w:right="161"/>
        <w:jc w:val="both"/>
      </w:pPr>
      <w:bookmarkStart w:id="0" w:name="_GoBack"/>
      <w:bookmarkEnd w:id="0"/>
    </w:p>
    <w:p w14:paraId="6F8BD278" w14:textId="77777777" w:rsidR="00F00DA2" w:rsidRDefault="00F00DA2">
      <w:pPr>
        <w:spacing w:before="2" w:line="240" w:lineRule="exact"/>
        <w:rPr>
          <w:sz w:val="24"/>
          <w:szCs w:val="24"/>
        </w:rPr>
      </w:pPr>
    </w:p>
    <w:p w14:paraId="0F92EBFF" w14:textId="77777777" w:rsidR="00F00DA2" w:rsidRDefault="00F00DA2">
      <w:pPr>
        <w:spacing w:line="200" w:lineRule="exact"/>
        <w:rPr>
          <w:sz w:val="20"/>
          <w:szCs w:val="20"/>
        </w:rPr>
      </w:pPr>
    </w:p>
    <w:p w14:paraId="03CA7A67" w14:textId="3880C87E" w:rsidR="00F00DA2" w:rsidRDefault="001216EA" w:rsidP="00D31568">
      <w:pPr>
        <w:pStyle w:val="BodyText"/>
        <w:numPr>
          <w:ilvl w:val="0"/>
          <w:numId w:val="1"/>
        </w:numPr>
        <w:spacing w:line="304" w:lineRule="auto"/>
        <w:ind w:right="191"/>
        <w:jc w:val="both"/>
        <w:rPr>
          <w:color w:val="242428"/>
          <w:w w:val="110"/>
        </w:rPr>
      </w:pPr>
      <w:r>
        <w:rPr>
          <w:color w:val="3A3B3D"/>
          <w:w w:val="110"/>
        </w:rPr>
        <w:t>Also,</w:t>
      </w:r>
      <w:r>
        <w:rPr>
          <w:color w:val="3A3B3D"/>
          <w:spacing w:val="51"/>
          <w:w w:val="110"/>
        </w:rPr>
        <w:t xml:space="preserve"> </w:t>
      </w:r>
      <w:r>
        <w:rPr>
          <w:color w:val="3A3B3D"/>
          <w:w w:val="110"/>
        </w:rPr>
        <w:t>we</w:t>
      </w:r>
      <w:r>
        <w:rPr>
          <w:color w:val="3A3B3D"/>
          <w:spacing w:val="50"/>
          <w:w w:val="110"/>
        </w:rPr>
        <w:t xml:space="preserve"> </w:t>
      </w:r>
      <w:r>
        <w:rPr>
          <w:color w:val="242428"/>
          <w:w w:val="110"/>
        </w:rPr>
        <w:t>have</w:t>
      </w:r>
      <w:r>
        <w:rPr>
          <w:color w:val="242428"/>
          <w:spacing w:val="59"/>
          <w:w w:val="110"/>
        </w:rPr>
        <w:t xml:space="preserve"> </w:t>
      </w:r>
      <w:r>
        <w:rPr>
          <w:color w:val="242428"/>
          <w:w w:val="110"/>
        </w:rPr>
        <w:t>a</w:t>
      </w:r>
      <w:r>
        <w:rPr>
          <w:color w:val="242428"/>
          <w:spacing w:val="49"/>
          <w:w w:val="110"/>
        </w:rPr>
        <w:t xml:space="preserve"> </w:t>
      </w:r>
      <w:r>
        <w:rPr>
          <w:color w:val="242428"/>
          <w:w w:val="110"/>
        </w:rPr>
        <w:t>request</w:t>
      </w:r>
      <w:r>
        <w:rPr>
          <w:color w:val="242428"/>
          <w:spacing w:val="60"/>
          <w:w w:val="110"/>
        </w:rPr>
        <w:t xml:space="preserve"> </w:t>
      </w:r>
      <w:r>
        <w:rPr>
          <w:color w:val="242428"/>
          <w:w w:val="110"/>
        </w:rPr>
        <w:t>for</w:t>
      </w:r>
      <w:r>
        <w:rPr>
          <w:color w:val="242428"/>
          <w:spacing w:val="47"/>
          <w:w w:val="110"/>
        </w:rPr>
        <w:t xml:space="preserve"> </w:t>
      </w:r>
      <w:r>
        <w:rPr>
          <w:color w:val="242428"/>
          <w:w w:val="110"/>
        </w:rPr>
        <w:t>clarification,</w:t>
      </w:r>
      <w:r>
        <w:rPr>
          <w:color w:val="242428"/>
          <w:spacing w:val="58"/>
          <w:w w:val="110"/>
        </w:rPr>
        <w:t xml:space="preserve"> </w:t>
      </w:r>
      <w:r>
        <w:rPr>
          <w:color w:val="242428"/>
          <w:w w:val="110"/>
        </w:rPr>
        <w:t>how</w:t>
      </w:r>
      <w:r>
        <w:rPr>
          <w:color w:val="242428"/>
          <w:spacing w:val="47"/>
          <w:w w:val="110"/>
        </w:rPr>
        <w:t xml:space="preserve"> </w:t>
      </w:r>
      <w:r>
        <w:rPr>
          <w:color w:val="242428"/>
          <w:w w:val="110"/>
        </w:rPr>
        <w:t>long</w:t>
      </w:r>
      <w:r>
        <w:rPr>
          <w:color w:val="242428"/>
          <w:spacing w:val="43"/>
          <w:w w:val="110"/>
        </w:rPr>
        <w:t xml:space="preserve"> </w:t>
      </w:r>
      <w:r>
        <w:rPr>
          <w:color w:val="242428"/>
          <w:w w:val="110"/>
        </w:rPr>
        <w:t>does</w:t>
      </w:r>
      <w:r>
        <w:rPr>
          <w:color w:val="242428"/>
          <w:spacing w:val="46"/>
          <w:w w:val="110"/>
        </w:rPr>
        <w:t xml:space="preserve"> </w:t>
      </w:r>
      <w:r>
        <w:rPr>
          <w:color w:val="242428"/>
          <w:w w:val="110"/>
        </w:rPr>
        <w:t>it</w:t>
      </w:r>
      <w:r>
        <w:rPr>
          <w:color w:val="242428"/>
          <w:spacing w:val="38"/>
          <w:w w:val="110"/>
        </w:rPr>
        <w:t xml:space="preserve"> </w:t>
      </w:r>
      <w:r>
        <w:rPr>
          <w:color w:val="242428"/>
          <w:w w:val="110"/>
        </w:rPr>
        <w:t>take</w:t>
      </w:r>
      <w:r>
        <w:rPr>
          <w:color w:val="242428"/>
          <w:spacing w:val="46"/>
          <w:w w:val="110"/>
        </w:rPr>
        <w:t xml:space="preserve"> </w:t>
      </w:r>
      <w:r>
        <w:rPr>
          <w:color w:val="242428"/>
          <w:w w:val="110"/>
        </w:rPr>
        <w:t>to</w:t>
      </w:r>
      <w:r>
        <w:rPr>
          <w:color w:val="242428"/>
          <w:spacing w:val="48"/>
          <w:w w:val="110"/>
        </w:rPr>
        <w:t xml:space="preserve"> </w:t>
      </w:r>
      <w:r>
        <w:rPr>
          <w:color w:val="242428"/>
          <w:w w:val="110"/>
        </w:rPr>
        <w:t>accept</w:t>
      </w:r>
      <w:r>
        <w:rPr>
          <w:color w:val="242428"/>
          <w:spacing w:val="58"/>
          <w:w w:val="110"/>
        </w:rPr>
        <w:t xml:space="preserve"> </w:t>
      </w:r>
      <w:r>
        <w:rPr>
          <w:color w:val="242428"/>
          <w:w w:val="110"/>
        </w:rPr>
        <w:t>the</w:t>
      </w:r>
      <w:r>
        <w:rPr>
          <w:color w:val="242428"/>
          <w:spacing w:val="1"/>
          <w:w w:val="110"/>
        </w:rPr>
        <w:t xml:space="preserve"> </w:t>
      </w:r>
      <w:r>
        <w:rPr>
          <w:color w:val="242428"/>
          <w:w w:val="110"/>
        </w:rPr>
        <w:t>provided</w:t>
      </w:r>
      <w:r>
        <w:rPr>
          <w:color w:val="242428"/>
          <w:w w:val="106"/>
        </w:rPr>
        <w:t xml:space="preserve"> </w:t>
      </w:r>
      <w:r>
        <w:rPr>
          <w:color w:val="242428"/>
          <w:w w:val="110"/>
        </w:rPr>
        <w:t>equipment,</w:t>
      </w:r>
      <w:r>
        <w:rPr>
          <w:color w:val="242428"/>
          <w:spacing w:val="12"/>
          <w:w w:val="110"/>
        </w:rPr>
        <w:t xml:space="preserve"> </w:t>
      </w:r>
      <w:r>
        <w:rPr>
          <w:color w:val="242428"/>
          <w:w w:val="110"/>
        </w:rPr>
        <w:t>from</w:t>
      </w:r>
      <w:r>
        <w:rPr>
          <w:color w:val="242428"/>
          <w:spacing w:val="-6"/>
          <w:w w:val="110"/>
        </w:rPr>
        <w:t xml:space="preserve"> </w:t>
      </w:r>
      <w:r>
        <w:rPr>
          <w:color w:val="242428"/>
          <w:w w:val="110"/>
        </w:rPr>
        <w:t>the</w:t>
      </w:r>
      <w:r>
        <w:rPr>
          <w:color w:val="242428"/>
          <w:spacing w:val="-2"/>
          <w:w w:val="110"/>
        </w:rPr>
        <w:t xml:space="preserve"> </w:t>
      </w:r>
      <w:r>
        <w:rPr>
          <w:color w:val="242428"/>
          <w:w w:val="110"/>
        </w:rPr>
        <w:t>delivery</w:t>
      </w:r>
      <w:r>
        <w:rPr>
          <w:color w:val="242428"/>
          <w:spacing w:val="5"/>
          <w:w w:val="110"/>
        </w:rPr>
        <w:t xml:space="preserve"> </w:t>
      </w:r>
      <w:r>
        <w:rPr>
          <w:color w:val="242428"/>
          <w:w w:val="110"/>
        </w:rPr>
        <w:t>date</w:t>
      </w:r>
      <w:r>
        <w:rPr>
          <w:color w:val="242428"/>
          <w:spacing w:val="-8"/>
          <w:w w:val="110"/>
        </w:rPr>
        <w:t xml:space="preserve"> </w:t>
      </w:r>
      <w:r>
        <w:rPr>
          <w:color w:val="242428"/>
          <w:w w:val="110"/>
        </w:rPr>
        <w:t>till</w:t>
      </w:r>
      <w:r>
        <w:rPr>
          <w:color w:val="242428"/>
          <w:spacing w:val="2"/>
          <w:w w:val="110"/>
        </w:rPr>
        <w:t xml:space="preserve"> </w:t>
      </w:r>
      <w:r>
        <w:rPr>
          <w:color w:val="242428"/>
          <w:w w:val="110"/>
        </w:rPr>
        <w:t>the signing of the acceptance</w:t>
      </w:r>
      <w:r>
        <w:rPr>
          <w:color w:val="242428"/>
          <w:spacing w:val="5"/>
          <w:w w:val="110"/>
        </w:rPr>
        <w:t xml:space="preserve"> </w:t>
      </w:r>
      <w:r>
        <w:rPr>
          <w:color w:val="3A3B3D"/>
          <w:w w:val="110"/>
        </w:rPr>
        <w:t xml:space="preserve">act, </w:t>
      </w:r>
      <w:r>
        <w:rPr>
          <w:color w:val="242428"/>
          <w:w w:val="110"/>
        </w:rPr>
        <w:t>including</w:t>
      </w:r>
      <w:r>
        <w:rPr>
          <w:color w:val="242428"/>
          <w:spacing w:val="9"/>
          <w:w w:val="110"/>
        </w:rPr>
        <w:t xml:space="preserve"> </w:t>
      </w:r>
      <w:r>
        <w:rPr>
          <w:color w:val="242428"/>
          <w:w w:val="110"/>
        </w:rPr>
        <w:t>inspections</w:t>
      </w:r>
      <w:r>
        <w:rPr>
          <w:color w:val="242428"/>
          <w:w w:val="109"/>
        </w:rPr>
        <w:t xml:space="preserve"> </w:t>
      </w:r>
      <w:r>
        <w:rPr>
          <w:color w:val="242428"/>
          <w:w w:val="110"/>
        </w:rPr>
        <w:t>and</w:t>
      </w:r>
      <w:r>
        <w:rPr>
          <w:color w:val="242428"/>
          <w:spacing w:val="3"/>
          <w:w w:val="110"/>
        </w:rPr>
        <w:t xml:space="preserve"> </w:t>
      </w:r>
      <w:r>
        <w:rPr>
          <w:color w:val="242428"/>
          <w:w w:val="110"/>
        </w:rPr>
        <w:t>tests</w:t>
      </w:r>
      <w:r>
        <w:rPr>
          <w:color w:val="242428"/>
          <w:spacing w:val="13"/>
          <w:w w:val="110"/>
        </w:rPr>
        <w:t xml:space="preserve"> </w:t>
      </w:r>
      <w:r>
        <w:rPr>
          <w:color w:val="242428"/>
          <w:w w:val="110"/>
        </w:rPr>
        <w:t>conducted</w:t>
      </w:r>
      <w:r>
        <w:rPr>
          <w:color w:val="242428"/>
          <w:spacing w:val="14"/>
          <w:w w:val="110"/>
        </w:rPr>
        <w:t xml:space="preserve"> </w:t>
      </w:r>
      <w:r>
        <w:rPr>
          <w:color w:val="242428"/>
          <w:w w:val="110"/>
        </w:rPr>
        <w:t>by</w:t>
      </w:r>
      <w:r>
        <w:rPr>
          <w:color w:val="242428"/>
          <w:spacing w:val="7"/>
          <w:w w:val="110"/>
        </w:rPr>
        <w:t xml:space="preserve"> </w:t>
      </w:r>
      <w:r>
        <w:rPr>
          <w:color w:val="242428"/>
          <w:w w:val="110"/>
        </w:rPr>
        <w:t>the</w:t>
      </w:r>
      <w:r>
        <w:rPr>
          <w:color w:val="242428"/>
          <w:spacing w:val="11"/>
          <w:w w:val="110"/>
        </w:rPr>
        <w:t xml:space="preserve"> </w:t>
      </w:r>
      <w:r>
        <w:rPr>
          <w:color w:val="242428"/>
          <w:w w:val="110"/>
        </w:rPr>
        <w:t>Purchaser.</w:t>
      </w:r>
    </w:p>
    <w:p w14:paraId="69E21FEF" w14:textId="39D1F006" w:rsidR="005773D1" w:rsidRDefault="005773D1">
      <w:pPr>
        <w:pStyle w:val="BodyText"/>
        <w:spacing w:line="304" w:lineRule="auto"/>
        <w:ind w:left="178" w:right="191" w:hanging="6"/>
        <w:jc w:val="both"/>
      </w:pPr>
    </w:p>
    <w:p w14:paraId="75265EC2" w14:textId="7FEF61C0" w:rsidR="000F6939" w:rsidRPr="00D31568" w:rsidRDefault="000F6939" w:rsidP="00D31568">
      <w:pPr>
        <w:pStyle w:val="BodyText"/>
        <w:numPr>
          <w:ilvl w:val="0"/>
          <w:numId w:val="2"/>
        </w:numPr>
        <w:spacing w:line="304" w:lineRule="auto"/>
        <w:ind w:right="191"/>
        <w:jc w:val="both"/>
        <w:rPr>
          <w:color w:val="1F497D" w:themeColor="text2"/>
          <w:w w:val="110"/>
        </w:rPr>
      </w:pPr>
      <w:r w:rsidRPr="00D31568">
        <w:rPr>
          <w:color w:val="1F497D" w:themeColor="text2"/>
          <w:w w:val="110"/>
        </w:rPr>
        <w:t>The contract describes all obligations that must be fulfilled by the supplier after the delivery of the equipment. Final acceptance depends on the time it takes the supplier to complete the following activities.</w:t>
      </w:r>
    </w:p>
    <w:p w14:paraId="1D860F18" w14:textId="77777777" w:rsidR="000F6939" w:rsidRPr="00D31568" w:rsidRDefault="000F6939" w:rsidP="005773D1">
      <w:pPr>
        <w:pStyle w:val="BodyText"/>
        <w:spacing w:line="304" w:lineRule="auto"/>
        <w:ind w:left="178" w:right="191" w:hanging="6"/>
        <w:jc w:val="both"/>
        <w:rPr>
          <w:color w:val="1F497D" w:themeColor="text2"/>
          <w:w w:val="110"/>
        </w:rPr>
      </w:pPr>
    </w:p>
    <w:p w14:paraId="00074C2E" w14:textId="364FFE08" w:rsidR="005773D1" w:rsidRPr="00D31568" w:rsidRDefault="005773D1" w:rsidP="00D31568">
      <w:pPr>
        <w:pStyle w:val="BodyText"/>
        <w:spacing w:line="304" w:lineRule="auto"/>
        <w:ind w:left="1440" w:right="191"/>
        <w:jc w:val="both"/>
        <w:rPr>
          <w:color w:val="1F497D" w:themeColor="text2"/>
          <w:w w:val="110"/>
        </w:rPr>
      </w:pPr>
      <w:r w:rsidRPr="00D31568">
        <w:rPr>
          <w:b/>
          <w:bCs/>
          <w:color w:val="1F497D" w:themeColor="text2"/>
          <w:w w:val="110"/>
        </w:rPr>
        <w:t>In “</w:t>
      </w:r>
      <w:bookmarkStart w:id="1" w:name="_Toc438954452"/>
      <w:bookmarkStart w:id="2" w:name="_Toc488411761"/>
      <w:bookmarkStart w:id="3" w:name="_Toc347227549"/>
      <w:r w:rsidRPr="00D31568">
        <w:rPr>
          <w:b/>
          <w:bCs/>
          <w:color w:val="1F497D" w:themeColor="text2"/>
          <w:w w:val="110"/>
        </w:rPr>
        <w:t>Section IX.  Special Conditions of Contract</w:t>
      </w:r>
      <w:bookmarkEnd w:id="1"/>
      <w:bookmarkEnd w:id="2"/>
      <w:bookmarkEnd w:id="3"/>
      <w:r w:rsidRPr="00D31568">
        <w:rPr>
          <w:b/>
          <w:bCs/>
          <w:color w:val="1F497D" w:themeColor="text2"/>
          <w:w w:val="110"/>
        </w:rPr>
        <w:t xml:space="preserve">” under GCC 26.1 described the </w:t>
      </w:r>
      <w:r w:rsidRPr="00D31568">
        <w:rPr>
          <w:color w:val="1F497D" w:themeColor="text2"/>
          <w:w w:val="110"/>
        </w:rPr>
        <w:t>Supplier shall be responsible for the integration of computing and data storage subsystems with the existing infrastructure, making possible the smooth migration of software systems and the subsequent exploitation of the old system for test purposes. Failure of any subsystem of the old and new systems should not affect the rest of the hardware systems. This also includes migration of all necessary data/systems from the old infrastructure to the new, and ensuring flawless operation of all necessary platforms on the new infrastructure.</w:t>
      </w:r>
    </w:p>
    <w:p w14:paraId="330234F0" w14:textId="1527FAEC" w:rsidR="005773D1" w:rsidRPr="00D31568" w:rsidRDefault="005773D1" w:rsidP="00D31568">
      <w:pPr>
        <w:pStyle w:val="BodyText"/>
        <w:spacing w:line="304" w:lineRule="auto"/>
        <w:ind w:left="1440" w:right="191"/>
        <w:jc w:val="both"/>
        <w:rPr>
          <w:color w:val="1F497D" w:themeColor="text2"/>
          <w:w w:val="110"/>
        </w:rPr>
      </w:pPr>
      <w:r w:rsidRPr="00D31568">
        <w:rPr>
          <w:color w:val="1F497D" w:themeColor="text2"/>
          <w:w w:val="110"/>
        </w:rPr>
        <w:t>The Purchaser will conduct inspections and Tests. The products shall be unpacked, inspected for damage, installed in accordance with original product vendor specifications, and run test and diagnostics routines.</w:t>
      </w:r>
    </w:p>
    <w:p w14:paraId="6D4EB875" w14:textId="77777777" w:rsidR="005773D1" w:rsidRDefault="005773D1">
      <w:pPr>
        <w:pStyle w:val="BodyText"/>
        <w:spacing w:line="304" w:lineRule="auto"/>
        <w:ind w:left="178" w:right="191" w:hanging="6"/>
        <w:jc w:val="both"/>
      </w:pPr>
    </w:p>
    <w:p w14:paraId="09C66BB8" w14:textId="77777777" w:rsidR="00F00DA2" w:rsidRDefault="00F00DA2">
      <w:pPr>
        <w:spacing w:line="200" w:lineRule="exact"/>
        <w:rPr>
          <w:sz w:val="20"/>
          <w:szCs w:val="20"/>
        </w:rPr>
      </w:pPr>
    </w:p>
    <w:p w14:paraId="1C1F26B5" w14:textId="77777777" w:rsidR="00F00DA2" w:rsidRDefault="00F00DA2">
      <w:pPr>
        <w:spacing w:line="200" w:lineRule="exact"/>
        <w:rPr>
          <w:sz w:val="20"/>
          <w:szCs w:val="20"/>
        </w:rPr>
      </w:pPr>
    </w:p>
    <w:sectPr w:rsidR="00F00DA2">
      <w:type w:val="continuous"/>
      <w:pgSz w:w="11906" w:h="16840"/>
      <w:pgMar w:top="1560" w:right="11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20AF8"/>
    <w:multiLevelType w:val="hybridMultilevel"/>
    <w:tmpl w:val="64A80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CF17BE4"/>
    <w:multiLevelType w:val="hybridMultilevel"/>
    <w:tmpl w:val="2DFA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A2"/>
    <w:rsid w:val="000F6939"/>
    <w:rsid w:val="001216EA"/>
    <w:rsid w:val="005773D1"/>
    <w:rsid w:val="006E00B5"/>
    <w:rsid w:val="00D31568"/>
    <w:rsid w:val="00E01CA0"/>
    <w:rsid w:val="00F0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FA21"/>
  <w15:docId w15:val="{079DE032-669A-4F71-84D9-F98A72C7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E01C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65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numne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Պարզաբանում</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Պարզաբանում</dc:title>
  <dc:creator>Aram Vrtanesyan</dc:creator>
  <cp:lastModifiedBy>Armine Azaryan</cp:lastModifiedBy>
  <cp:revision>4</cp:revision>
  <dcterms:created xsi:type="dcterms:W3CDTF">2023-04-10T06:28:00Z</dcterms:created>
  <dcterms:modified xsi:type="dcterms:W3CDTF">2023-04-12T07:39:00Z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LastSaved">
    <vt:filetime>2023-04-06T00:00:00Z</vt:filetime>
  </property>
  <property fmtid="{D5CDD505-2E9C-101B-9397-08002B2CF9AE}" pid="4" name="GrammarlyDocumentId">
    <vt:lpwstr>6aef35b6854c7c38bad06b62e9753ca393968195e079ed65f3a502a2d88c5ef5</vt:lpwstr>
  </property>
</Properties>
</file>