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49C5E0C" w:rsidR="00716704" w:rsidRPr="00602352" w:rsidRDefault="002725F2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2725F2">
        <w:rPr>
          <w:rFonts w:ascii="GHEA Grapalat" w:hAnsi="GHEA Grapalat" w:cs="Sylfaen"/>
          <w:i/>
          <w:lang w:val="hy-AM"/>
        </w:rPr>
        <w:t xml:space="preserve">Աբովյան համայնքի 2026 թվականի կարիքների համար գազաֆիկացման աշխատանքների իրականացման համար տեխնիկական հսկողության խորհրդատվական ծառայությունների ձեռքբերման նպատակով «ԱԲՀ-ԲՄԽԾՁԲ-26/48»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4A97CD40" w:rsidR="004C6E7E" w:rsidRPr="009438E6" w:rsidRDefault="00716704" w:rsidP="002725F2">
      <w:pPr>
        <w:pStyle w:val="HTML"/>
        <w:shd w:val="clear" w:color="auto" w:fill="F8F9FA"/>
        <w:spacing w:line="276" w:lineRule="auto"/>
        <w:jc w:val="center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"ABH-BMKhTsDzB-2</w:t>
      </w:r>
      <w:r w:rsidR="0078049A" w:rsidRPr="00963BAB">
        <w:rPr>
          <w:rFonts w:ascii="GHEA Grapalat" w:hAnsi="GHEA Grapalat" w:cs="Sylfaen"/>
          <w:i/>
          <w:lang w:val="hy-AM"/>
        </w:rPr>
        <w:t>6</w:t>
      </w:r>
      <w:r w:rsidR="0078049A">
        <w:rPr>
          <w:rFonts w:ascii="GHEA Grapalat" w:hAnsi="GHEA Grapalat" w:cs="Sylfaen"/>
          <w:i/>
          <w:lang w:val="hy-AM"/>
        </w:rPr>
        <w:t>/</w:t>
      </w:r>
      <w:r w:rsidR="007D42F7" w:rsidRPr="007D42F7">
        <w:rPr>
          <w:rFonts w:ascii="GHEA Grapalat" w:hAnsi="GHEA Grapalat" w:cs="Sylfaen"/>
          <w:i/>
          <w:lang w:val="hy-AM"/>
        </w:rPr>
        <w:t>4</w:t>
      </w:r>
      <w:r w:rsidR="002725F2">
        <w:rPr>
          <w:rFonts w:ascii="GHEA Grapalat" w:hAnsi="GHEA Grapalat" w:cs="Sylfaen"/>
          <w:i/>
        </w:rPr>
        <w:t>8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2725F2" w:rsidRPr="002725F2">
        <w:rPr>
          <w:rFonts w:ascii="GHEA Grapalat" w:hAnsi="GHEA Grapalat" w:cs="Sylfaen"/>
          <w:i/>
          <w:lang w:val="hy-AM"/>
        </w:rPr>
        <w:t>приобретение консультационных услуг по техническому надзору за реализацией работ по газификации для нужд общины Абовян к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8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120"/>
        <w:gridCol w:w="17"/>
        <w:gridCol w:w="523"/>
        <w:gridCol w:w="249"/>
        <w:gridCol w:w="225"/>
        <w:gridCol w:w="23"/>
        <w:gridCol w:w="260"/>
        <w:gridCol w:w="142"/>
        <w:gridCol w:w="1843"/>
      </w:tblGrid>
      <w:tr w:rsidR="0022631D" w:rsidRPr="00A63F0D" w14:paraId="3BCB0F4A" w14:textId="77777777" w:rsidTr="00D5338D">
        <w:trPr>
          <w:trHeight w:val="146"/>
        </w:trPr>
        <w:tc>
          <w:tcPr>
            <w:tcW w:w="993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7D42F7">
        <w:trPr>
          <w:trHeight w:val="1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7D42F7">
        <w:trPr>
          <w:trHeight w:val="175"/>
        </w:trPr>
        <w:tc>
          <w:tcPr>
            <w:tcW w:w="993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7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7D42F7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B06C79" w:rsidRPr="002725F2" w14:paraId="60682EB9" w14:textId="77777777" w:rsidTr="00730745">
        <w:trPr>
          <w:trHeight w:val="394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055799E" w14:textId="2FA1995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F8451B9" w14:textId="12682917" w:rsidR="00B06C79" w:rsidRPr="00730745" w:rsidRDefault="002725F2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2725F2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Աբովյան համայնքի Աբովյան քաղաքի 8-րդ միկրոշրջան 2-րդ թաղամասի, 6-րդ միկրոշրջանի Արցախի փողոցի հարակից թվով շուրջ 50 բնակելի տների, Հադրութ թաղամաս /5-րդ միկրոշրջան/ 4-րդ փողոցի գազաֆիկացման աշխատանքների իրականացման համար </w:t>
            </w:r>
            <w:r w:rsidRPr="002725F2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տեխնիկական հսկողության խորհրդատվական ծառայություններ</w:t>
            </w:r>
            <w:r w:rsidR="00730745" w:rsidRPr="0073074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, Приобретение услуги по техническому надзору и консультированию при выполнении работ по газификации примерно 50 жилых домов, расположенных рядом с улицей Арцах в 8-м микрорайоне города Абовян, общине Абовян, Хадрутском районе /5-м микрорайоне/4-й улице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2480483E" w14:textId="3878CD2B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741A1A97" w14:textId="77777777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vMerge w:val="restart"/>
            <w:shd w:val="clear" w:color="auto" w:fill="auto"/>
            <w:vAlign w:val="center"/>
          </w:tcPr>
          <w:p w14:paraId="6A4EE172" w14:textId="316D88B8" w:rsidR="00B06C79" w:rsidRPr="000D6D04" w:rsidRDefault="002725F2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45E39">
              <w:rPr>
                <w:rFonts w:ascii="GHEA Grapalat" w:hAnsi="GHEA Grapalat"/>
                <w:i/>
              </w:rPr>
              <w:t>657 000</w:t>
            </w:r>
          </w:p>
          <w:p w14:paraId="7B136AE7" w14:textId="7A1244C1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541" w:type="dxa"/>
            <w:gridSpan w:val="5"/>
            <w:vMerge w:val="restart"/>
            <w:shd w:val="clear" w:color="auto" w:fill="auto"/>
            <w:vAlign w:val="center"/>
          </w:tcPr>
          <w:p w14:paraId="579E4042" w14:textId="5222C9E4" w:rsidR="00B06C79" w:rsidRPr="000D6D04" w:rsidRDefault="002725F2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545E39">
              <w:rPr>
                <w:rFonts w:ascii="GHEA Grapalat" w:hAnsi="GHEA Grapalat"/>
                <w:i/>
              </w:rPr>
              <w:t>657 000</w:t>
            </w:r>
          </w:p>
          <w:p w14:paraId="32F92644" w14:textId="0791A922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14:paraId="2CD7731F" w14:textId="255DD4A5" w:rsidR="00B06C79" w:rsidRPr="00730745" w:rsidRDefault="002725F2" w:rsidP="002725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i/>
              </w:rPr>
            </w:pPr>
            <w:r w:rsidRPr="002725F2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Աբովյան համայնքի Աբովյան քաղաքի 8-րդ միկրոշրջան 2-րդ թաղամասի, 6-րդ միկրոշրջանի Արցախի փողոցի հարակից թվով շուրջ 50 բնակելի տների, Հադրութ թաղամաս /5-րդ միկրոշրջան/ 4-րդ փողոցի գազաֆիկացման աշխատանքների իրականացման համար տեխնիկական հսկողության խորհրդատվական ծառայություններ</w:t>
            </w:r>
            <w:r w:rsidR="00730745" w:rsidRPr="0073074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, </w:t>
            </w:r>
            <w:r w:rsidR="00730745" w:rsidRPr="0073074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Приобретение услуги по техническому надзору и консультированию при выполнении работ по газификации примерно 50 жилых домов, расположенных рядом с </w:t>
            </w:r>
            <w:r w:rsidR="00730745" w:rsidRPr="0073074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lastRenderedPageBreak/>
              <w:t>улицей Арцах в 8-м микрорайоне города Абовян, общине Абовян, Хадрутском районе /5-м микрорайоне/4-й улице</w:t>
            </w:r>
          </w:p>
        </w:tc>
      </w:tr>
      <w:tr w:rsidR="00B06C79" w:rsidRPr="002725F2" w14:paraId="7D066AF7" w14:textId="77777777" w:rsidTr="007D42F7">
        <w:trPr>
          <w:trHeight w:val="4800"/>
        </w:trPr>
        <w:tc>
          <w:tcPr>
            <w:tcW w:w="993" w:type="dxa"/>
            <w:vMerge/>
            <w:shd w:val="clear" w:color="auto" w:fill="auto"/>
            <w:vAlign w:val="center"/>
          </w:tcPr>
          <w:p w14:paraId="2834C6DF" w14:textId="77777777" w:rsidR="00B06C79" w:rsidRPr="002725F2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BBE0F1D" w14:textId="77777777" w:rsidR="00B06C79" w:rsidRPr="00730745" w:rsidRDefault="00B06C79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1556848F" w14:textId="77777777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33281E31" w14:textId="77777777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251B1924" w14:textId="77777777" w:rsidR="00B06C79" w:rsidRPr="002725F2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shd w:val="clear" w:color="auto" w:fill="auto"/>
            <w:vAlign w:val="center"/>
          </w:tcPr>
          <w:p w14:paraId="1BA03DAA" w14:textId="77777777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541" w:type="dxa"/>
            <w:gridSpan w:val="5"/>
            <w:vMerge/>
            <w:shd w:val="clear" w:color="auto" w:fill="auto"/>
            <w:vAlign w:val="center"/>
          </w:tcPr>
          <w:p w14:paraId="6D6A7673" w14:textId="77777777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gridSpan w:val="9"/>
            <w:vMerge/>
            <w:shd w:val="clear" w:color="auto" w:fill="auto"/>
            <w:vAlign w:val="center"/>
          </w:tcPr>
          <w:p w14:paraId="284F15DC" w14:textId="77777777" w:rsidR="00B06C79" w:rsidRPr="0078049A" w:rsidRDefault="00B06C79" w:rsidP="00B06C7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</w:tr>
      <w:tr w:rsidR="00B06C79" w:rsidRPr="007B76BA" w14:paraId="43A91E02" w14:textId="77777777" w:rsidTr="00B06C79">
        <w:trPr>
          <w:trHeight w:val="1835"/>
        </w:trPr>
        <w:tc>
          <w:tcPr>
            <w:tcW w:w="993" w:type="dxa"/>
            <w:shd w:val="clear" w:color="auto" w:fill="auto"/>
            <w:vAlign w:val="center"/>
          </w:tcPr>
          <w:p w14:paraId="232800F7" w14:textId="6C50009B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0B9D6E6" w14:textId="12726045" w:rsidR="00B06C79" w:rsidRPr="00730745" w:rsidRDefault="002725F2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3074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Աբովյան համայնքի Մայակովսկի բնակավայրի 12-րդ փողոցի մնացած մաս, 15-րդ փողոցի փակուղիներ, 13-րդ փողոցի մնացած մաս գազաֆիկացման աշխատանքների իրականացման համար տեխնիկական հսկողության խորհրդատվական ծառայություններ</w:t>
            </w:r>
            <w:r w:rsidR="00730745" w:rsidRPr="0073074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, Консультационные услуги по техническому надзору и консультированию при выполнении работ по газификации на оставшейся части 12-й улицы, тупиках 15-й улицы и оставшейся части 13-й улицы в поселке Маяковский общины Абовян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0476273A" w14:textId="7D468EC4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6DFE719" w14:textId="77777777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43CB7E3D" w14:textId="26B16128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7DE90269" w14:textId="77777777" w:rsidR="00B06C79" w:rsidRPr="000D6D04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70B6BD67" w14:textId="6F0E6FE7" w:rsidR="00B06C79" w:rsidRPr="003A4FEB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2D8D110E" w14:textId="4D3D356F" w:rsidR="00B06C79" w:rsidRPr="000D6D04" w:rsidRDefault="002725F2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45E39">
              <w:rPr>
                <w:rFonts w:ascii="GHEA Grapalat" w:hAnsi="GHEA Grapalat"/>
                <w:i/>
              </w:rPr>
              <w:t>926 000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14:paraId="17D40AA6" w14:textId="3546E718" w:rsidR="00B06C79" w:rsidRPr="000D6D04" w:rsidRDefault="002725F2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545E39">
              <w:rPr>
                <w:rFonts w:ascii="GHEA Grapalat" w:hAnsi="GHEA Grapalat"/>
                <w:i/>
              </w:rPr>
              <w:t>926 000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3CA93D80" w14:textId="0AEF1A6D" w:rsidR="00B06C79" w:rsidRPr="00730745" w:rsidRDefault="002725F2" w:rsidP="002725F2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2725F2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Աբովյան համայնքի Մայակովսկի բնակավայրի 12-րդ փողոցի մնացած մաս, 15-րդ </w:t>
            </w:r>
            <w:r w:rsidRPr="002725F2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փողոցի փակուղիներ, 13-րդ փողոցի մնացած մաս գազաֆիկացման աշխատանքների իրականացման համար տեխնիկական հսկողության խորհրդատվական ծառայություններ</w:t>
            </w:r>
            <w:r w:rsidR="00730745" w:rsidRPr="0073074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, </w:t>
            </w:r>
            <w:r w:rsidR="00730745" w:rsidRPr="0073074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Консультационные услуги по техническому надзору и консультированию при выполнении работ по газификации на оставшейся части 12-й улицы, тупиках 15-й улицы и оставшейся части 13-й улицы в поселке Маяковский общины Абовян</w:t>
            </w:r>
          </w:p>
        </w:tc>
      </w:tr>
      <w:tr w:rsidR="00B06C79" w:rsidRPr="007B76BA" w14:paraId="4B8BC031" w14:textId="77777777" w:rsidTr="00D5338D">
        <w:trPr>
          <w:trHeight w:val="169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451180EC" w14:textId="77777777" w:rsidR="00B06C79" w:rsidRPr="0078049A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7B76BA" w14:paraId="36B45A72" w14:textId="77777777" w:rsidTr="0024561B">
        <w:trPr>
          <w:trHeight w:val="137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2B781" w14:textId="77777777" w:rsidR="007B76BA" w:rsidRDefault="007B76BA" w:rsidP="007B76BA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Իրականացնել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ամենօրյա և անընդմեջ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տեխնիկական հսկողություն, ապահովելով տեխնիկական հսկողության ծառայությունը մատուցողի կողմից նշանակված տեղամասային հսկիչի ամենօրյա և անընդմեջ ներկայությունը շինարարական օբյեկտում, համաձայն ՀՀ «Քաղաքաշինության մասին» օրենքի պահանջների, </w:t>
            </w:r>
          </w:p>
          <w:p w14:paraId="6BA6A9B3" w14:textId="77777777" w:rsidR="007B76BA" w:rsidRDefault="007B76BA" w:rsidP="007B76BA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ՀՀ կառավարության թիվ N 2106-Ն 30 նոյեմբերի 2023թ. որոշմամբ հաստատված  «Քաղաքաշինության բնագավառում լիցենզավորման» կարգի պահանջների, </w:t>
            </w:r>
          </w:p>
          <w:p w14:paraId="73C9300F" w14:textId="77777777" w:rsidR="007B76BA" w:rsidRDefault="007B76BA" w:rsidP="007B76BA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ՀՀ-ում կիրառելի/գործող շինարարական նորմերի պահանջների,</w:t>
            </w:r>
          </w:p>
          <w:p w14:paraId="0845AF5B" w14:textId="77777777" w:rsidR="007B76BA" w:rsidRDefault="007B76BA" w:rsidP="007B76BA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Քաղաքաշինության նախարարի թիվ 44 առ 28.04.1998թ. «Շինարարության որակի տեխնիկական հսկողության իրականացման հրահանգ» հրամանի պահանջների,</w:t>
            </w:r>
          </w:p>
          <w:p w14:paraId="7464EBEE" w14:textId="77777777" w:rsidR="007B76BA" w:rsidRDefault="007B76BA" w:rsidP="007B76BA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 կառավարության թիվ N 596-Ն 19 մարտի 2015թ. որոշման պահանջների</w:t>
            </w:r>
          </w:p>
          <w:p w14:paraId="5EBBFA4D" w14:textId="77777777" w:rsidR="007B76BA" w:rsidRDefault="007B76BA" w:rsidP="007B76BA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 կառավարության թիվ N 526-Ն 04 մայիսի 2017թ. որոշման պահանջների:</w:t>
            </w:r>
          </w:p>
          <w:p w14:paraId="6C7E4B17" w14:textId="77777777" w:rsidR="007B76BA" w:rsidRDefault="007B76BA" w:rsidP="007B76BA">
            <w:pPr>
              <w:numPr>
                <w:ilvl w:val="0"/>
                <w:numId w:val="5"/>
              </w:numPr>
              <w:spacing w:before="0" w:after="0" w:line="240" w:lineRule="atLeast"/>
              <w:ind w:left="317" w:hanging="283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 քաղաքաշինության նախարարի թիվ 44 առ 28.04.1998թ. Շինարարության որակի տեխնիկական հսկողության իրականացման հրահանգ հրամանում (</w:t>
            </w:r>
            <w:hyperlink r:id="rId8" w:history="1">
              <w:r>
                <w:rPr>
                  <w:rStyle w:val="ab"/>
                  <w:rFonts w:ascii="GHEA Grapalat" w:hAnsi="GHEA Grapalat"/>
                  <w:sz w:val="18"/>
                  <w:szCs w:val="18"/>
                  <w:lang w:val="hy-AM"/>
                </w:rPr>
                <w:t>https://www.arlis.am/documentView.aspx?docID=19495</w:t>
              </w:r>
            </w:hyperlink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) բերված հետևյալ դրույթների. </w:t>
            </w:r>
          </w:p>
          <w:p w14:paraId="44139982" w14:textId="77777777" w:rsidR="007B76BA" w:rsidRDefault="007B76BA" w:rsidP="007B76BA">
            <w:pPr>
              <w:shd w:val="clear" w:color="auto" w:fill="FFFFFF"/>
              <w:spacing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1.1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փորձարկումներով:</w:t>
            </w:r>
          </w:p>
          <w:p w14:paraId="3EF4D649" w14:textId="77777777" w:rsidR="007B76BA" w:rsidRDefault="007B76BA" w:rsidP="007B76BA">
            <w:pPr>
              <w:shd w:val="clear" w:color="auto" w:fill="FFFFFF"/>
              <w:spacing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1.1.1 Հսկողական ստուգում - պարզում է արդեն կատարված շինմոնտաժային աշխատանքների համապատասխանությունը նախագծային լուծումներին և շինարարական նորմերին և կանոններին: Հսկողական ստուգումը կարող է իրականացվել համատարած կամ ընտրովի:</w:t>
            </w:r>
          </w:p>
          <w:p w14:paraId="51CD81FD" w14:textId="77777777" w:rsidR="007B76BA" w:rsidRDefault="007B76BA" w:rsidP="007B76BA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      </w:r>
          </w:p>
          <w:p w14:paraId="5400AE16" w14:textId="77777777" w:rsidR="007B76BA" w:rsidRDefault="007B76BA" w:rsidP="007B76BA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Շինմոնտաժային աշխատանքների, օգտագործվող նյութերի, կառուցվածքների, սարքավորումների,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մատյանում:</w:t>
            </w:r>
          </w:p>
          <w:p w14:paraId="39236067" w14:textId="77777777" w:rsidR="007B76BA" w:rsidRDefault="007B76BA" w:rsidP="007B76BA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Խորհրդատուն պարտավոր է`</w:t>
            </w:r>
          </w:p>
          <w:p w14:paraId="1D36242A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հսկել շինարարական աշխատանքների ընթացքը, համապատասխանությունն  ապահովելու նպատակով` աշխատանքային նախագծին, կապալի  պայմանագրի  դրույթներին և գործող շինարարական նորմերին,</w:t>
            </w:r>
          </w:p>
          <w:p w14:paraId="41162371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 և հաստատել կապալառուի որակի ապահովման պլանը, աշխատանքների ծրագիրը, երթևեկության կառավարման պլանները, գնահատել ու վերահսկել շինարարական աշխատանքների իրականացումը,</w:t>
            </w:r>
          </w:p>
          <w:p w14:paraId="095A8B22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անձնագրերի,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օգտագործումը, այն ձևակերպել համապատասխան ակտերով,</w:t>
            </w:r>
          </w:p>
          <w:p w14:paraId="71984C19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ստուգել բոլոր այն լաբորատոր փորձարկումների արդյունքները, ինչպես նաև օգտագործվող նյութերի և կոնստրուկցիաների որակի հավաստագրերը, որոնք անհրաժեշտ են որակի ապահովման համար: Ըստ անհրաժեշտության տեխնիկական հսկողը կարող է կապալառուից պահանջել լրացուցիչ լաբորատոր փորձարկումների իրականացում:  </w:t>
            </w:r>
          </w:p>
          <w:p w14:paraId="7AAC567C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ուսումնասիրել, հաստատել և իրականացնել մոնիտորինգ կապալառուի կողմից շինհրապարակում օգտագործվող շինարարական նյութերի աղբյուրի նկատմամբ,</w:t>
            </w:r>
          </w:p>
          <w:p w14:paraId="407ED98B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Mariam" w:hAnsi="GHEA Mariam" w:cs="Arial"/>
                <w:b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 և ստուգել օգտագործվող շինանյութերի որակը և կապալառուի կողմից կատարված աշխատանքները, անհրաժեշտության դեպքում պահանջել փոփոխել այն շինանյութերը և աշխատանքները, որոնք չեն համապատասխանում պահանջվող որակի պահանջներին: Սույն գործառույթը իրականացնելու համար խորհրդատուն պետք է ունենա համապատասխան լաբորատոր փորձարկումներ իրականացնող ընկերության հետ կնքված պայմանագիր:</w:t>
            </w:r>
          </w:p>
          <w:p w14:paraId="5D6C8522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կապալառուին պարզաբանել նախագծային փաստաթղթերի հետ կապված հարցերը, տեխնիկական պահանջները: </w:t>
            </w:r>
          </w:p>
          <w:p w14:paraId="273C48D0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մասնակցել ավտոճանապարհների (տրանսպորտային օբյեկտների) և ինժեներական կառուցվածքների նշահարմանը, շինարարության ընթացքում կատարել գեոդեզիական ստուգողական չափումներ և չափագրություններ,</w:t>
            </w:r>
          </w:p>
          <w:p w14:paraId="4EC216C6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համաձայնեցնել ինժեներական սարքավորումների տեղադրման, գրանցման և փորձարկման հետ կապված հարցերը համապատասխան կազմակերպությունների հետ, </w:t>
            </w:r>
          </w:p>
          <w:p w14:paraId="06F08126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պարբերաբար 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</w:t>
            </w:r>
          </w:p>
          <w:p w14:paraId="539752C4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իրականացնել պատասխանատու կոնստրուկցիաների և հանգույցների միջանկյալ ընդունումը, այն ձևակերպել համապատասխան ակտերով,</w:t>
            </w:r>
          </w:p>
          <w:p w14:paraId="6F4EF960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շինարարության ընթացքում աշխատանքային գծագրերում ամրագրել հաստատված նախագծում սահմանված կարգով կատարված բոլոր փոփոխությունները,</w:t>
            </w:r>
          </w:p>
          <w:p w14:paraId="43C1BF5A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շինարարության վարման մատյանում նշել հայտնաբերված թերությունների ու դրանց վերացման մասին ցուցումներն և դիտողությունները,</w:t>
            </w:r>
          </w:p>
          <w:p w14:paraId="7AD6B3B0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վերացմանը,</w:t>
            </w:r>
          </w:p>
          <w:p w14:paraId="19B85888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իրականացնել և ապահովել աշխատանքային անվտանգության կանոնների պահպանման նկատմամբ պատշաճ հսկողություն։ Հրահանգել կապալառուին ապահովել աշխատանքային տեղամասերում անհրաժեշտ նշանների, լուսավորության,  ճանապարհային անվտանգության սարքերի համապատասխանությունը (օրինակ՝ ժամանակավոր և շարժական պատնեշները, վթարային արգելափակոցները և այլն), անվտանգության այլ միջոցների առկայությունը՝ շինարարության ընթացքում երթևեկության կազմակերպման հաստատված սխեմաների համապատասխան: </w:t>
            </w:r>
          </w:p>
          <w:p w14:paraId="50291AF8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 և հաստատել  երթևեկության կազմակերպման սխեմաներ և դրանում կատարվող փոփոխությունները,</w:t>
            </w:r>
          </w:p>
          <w:p w14:paraId="53FC7376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ստուգել բոլոր կատարողական փաստաթղթերը, որոնք անհրաժեշտ են համապատասխան վճարումները իրականացնելու համար,</w:t>
            </w:r>
          </w:p>
          <w:p w14:paraId="16E647C4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ստուգել և հաստատել կապալառուի կողմից նախապատրաստված կատարողական գծագրերը: </w:t>
            </w:r>
          </w:p>
          <w:p w14:paraId="1B5BF223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հաստատել կատարողական ակտերը, եթե աշխատանքները կատարվել են համապատասխան որակով և ծավալով,</w:t>
            </w:r>
          </w:p>
          <w:p w14:paraId="3164EA94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անավարտ աշխատանքների և թերությունների հայտնաբերման դեպքում կազմել նրանց ցանկը, սահմանել դրանց վերացման ժամկետները, Պատվիրատուին հանձնել այդ տեխնիկական փաստաթղթերը,</w:t>
            </w:r>
          </w:p>
          <w:p w14:paraId="0787FCA5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մասնակցել սառեցված (կոնսերվացված) կամ դադարեցված շինարարության օբյեկտները կապալառուներից ընդունմանը, ինչպես նաև ակտով նրանց հանձնելուն` նշելով այդ օբյեկտների տեխնիկական վիճակը:</w:t>
            </w:r>
          </w:p>
          <w:p w14:paraId="06F4075C" w14:textId="77777777" w:rsidR="007B76BA" w:rsidRDefault="007B76BA" w:rsidP="007B76BA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Կատարված աշխատանքների տեսակների ու ծավալների ընդունումը իրականացվում է`</w:t>
            </w:r>
          </w:p>
          <w:p w14:paraId="5ACAF77D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ծածկվող աշխատանքների ընդունման ակտերի ձևակերպման միջոցով,</w:t>
            </w:r>
          </w:p>
          <w:p w14:paraId="3785508D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կատարված աշխատանքների, օգտագործված կոնստրուկցիաների որակը հավաստող հավաստագրերի, ինչպես նաև օգտագործված նյութերի լաբորատոր փորձարկումների արդյունքների և որակը հավաստող հավաստագրերի ստուգման և գնահատման միջոցով, </w:t>
            </w:r>
          </w:p>
          <w:p w14:paraId="106FF868" w14:textId="77777777" w:rsidR="007B76BA" w:rsidRDefault="007B76BA" w:rsidP="007B76BA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հետագա աշխատանքների իրականացմանը օբյեկտի տեխնիկապես պատրաստ լինելու մասին միջանկյալ ընդունման ակտերի միջոցով:</w:t>
            </w:r>
          </w:p>
          <w:p w14:paraId="069EDF1E" w14:textId="77777777" w:rsidR="007B76BA" w:rsidRDefault="007B76BA" w:rsidP="007B76BA">
            <w:pPr>
              <w:numPr>
                <w:ilvl w:val="1"/>
                <w:numId w:val="15"/>
              </w:numPr>
              <w:shd w:val="clear" w:color="auto" w:fill="FFFFFF"/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Այն հիմնական շինմոնտաժային աշխատանքների ցանկը, որոնց համար անհրաժեշտ է կազմել ծածկված աշխատանքների ընդունման ակտեր, բերված է ՀՀ քաղաքաշինության նախարարի թիվ 44 առ 28.04.1998թ. Շինարարության որակի տեխնիկական հսկողության իրականացման հրահանգ հրամանի  հավելված 1-ում: Ծածկված աշխատանքների ընդունման ակտի ձևը բերված է ՀՀ քաղաքաշինության նախարարի թիվ 44 առ 28.04.1998թ. Շինարարության որակի տեխնիկական հսկողության իրականացման հրահանգ հրամանի հավելված 2-ում: Բայցի սույն կետում նշված հավելված 1-ին և հավելված 2-ին կատարված հղումներին,  պայմանագրով խորհրդատվական ծառայությունների մատուցման պարտավորությունը ստանձնելուց հետո 5 (հինգ) օրյա ժամկետում,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ձևեր՝ ըստ աշխատանքների առանձին տեսակների: Ծածկված աշխատանքների ընդունման կազմակերպումը դրվում է աշխատանքներն իրականացնողի վրա: Ընդունման աշխատանքներին մասնակցում են կառուցապատողի տեխնիկական հսկողությունը, գլխավոր կապալառուի, ենթակապալառուների (իրենց մասնակցության մասով), և այլ շահագրգիռ անձինք: Ակտերի օրինակների քանակը համապատասխանեցվում է ակտը ստորագրող անձանց քանակին: </w:t>
            </w:r>
          </w:p>
          <w:p w14:paraId="17E2365A" w14:textId="77777777" w:rsidR="007B76BA" w:rsidRDefault="007B76BA" w:rsidP="007B76BA">
            <w:pPr>
              <w:numPr>
                <w:ilvl w:val="1"/>
                <w:numId w:val="1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Շինարարական աշխատանքների և ինժեներական սարքավորումների միջանկյալ ընդունման ակտերի օրինակելի ցանկը համապատասխան ձևի նշումով տես` ՀՀ քաղաքաշինության նախարարի թիվ 44 առ 28.04.1998թ. Շինարարության որակի տեխնիկական հսկողության իրականացման հրահանգ հրամանի հավելված 3-ում:</w:t>
            </w:r>
          </w:p>
          <w:p w14:paraId="5C4BD3DD" w14:textId="77777777" w:rsidR="007B76BA" w:rsidRDefault="007B76BA" w:rsidP="007B76BA">
            <w:pPr>
              <w:shd w:val="clear" w:color="auto" w:fill="FFFFFF"/>
              <w:spacing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Շինմոնտաժային աշխատանքների առանձին տեսակները ենթակա են մշտական օպերատիվ հսկողության, որը գրանցվում է շինմոնտաժային աշխատանքների ընդհանուր մատյանում:</w:t>
            </w:r>
          </w:p>
          <w:p w14:paraId="640BB5D3" w14:textId="77777777" w:rsidR="007B76BA" w:rsidRDefault="007B76BA" w:rsidP="007B76BA">
            <w:pPr>
              <w:shd w:val="clear" w:color="auto" w:fill="FFFFFF"/>
              <w:spacing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Շինմոնտաժային աշխատանքների առանձին տեսակների օրինակելի ցանկը, որոնք ենթակա են որակի հսկողության, բերվում է ՀՀ քաղաքաշինության նախարարի թիվ 44 առ 28.04.1998թ. Շինարարության որակի տեխնիկական հսկողության իրականացման հրահանգ հրամանի հավելված 4-ում:</w:t>
            </w:r>
          </w:p>
          <w:p w14:paraId="179B8DDF" w14:textId="77777777" w:rsidR="007B76BA" w:rsidRDefault="007B76BA" w:rsidP="007B76BA">
            <w:pPr>
              <w:numPr>
                <w:ilvl w:val="0"/>
                <w:numId w:val="9"/>
              </w:numPr>
              <w:tabs>
                <w:tab w:val="num" w:pos="317"/>
                <w:tab w:val="num" w:pos="423"/>
              </w:tabs>
              <w:spacing w:before="0" w:after="0" w:line="240" w:lineRule="atLeast"/>
              <w:ind w:left="333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Խորհրդատուն պարտավոր է պայմանագրով տեխնիկական հսկողության ծառայությունների կատարման պարտավորությունը ստանձնելուց հետո 3 (երեք) օրյա ժամկետում Պատվիրատուին ներկայացնել տեխնիկական հսկողության համար նշանակված հիմնական անձնակազմի և յուրաքանչյուր շինարարական տեղամասի տեխնիկական հսկիչների (տեղամասային հսկիչի) տվյալները (անուն, ազգանուն, ստորագրության նմուշ, հեռախոսի համար) և անձնակազմի յուրաքանչյուր անդամի կողմից տրված գրավոր հավաստում՝ տվյալ ժամանակահատվածում հասանելիության վերաբերյալ։</w:t>
            </w:r>
          </w:p>
          <w:p w14:paraId="459E6E0A" w14:textId="77777777" w:rsidR="007B76BA" w:rsidRDefault="007B76BA" w:rsidP="007B76BA">
            <w:pPr>
              <w:numPr>
                <w:ilvl w:val="0"/>
                <w:numId w:val="9"/>
              </w:numPr>
              <w:tabs>
                <w:tab w:val="num" w:pos="317"/>
                <w:tab w:val="num" w:pos="423"/>
              </w:tabs>
              <w:spacing w:before="0" w:after="0" w:line="240" w:lineRule="atLeast"/>
              <w:ind w:left="333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Հաշվետվողականությունը.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Տեխնիկական հսկողություն իրականացնողները պարտավոր են ներկայացնել Պատվիրատուին Ծառայությունների վերաբերյալ մոբիլիզացիայի, ամսական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69F06127" w14:textId="77777777" w:rsidR="007B76BA" w:rsidRPr="006A23BC" w:rsidRDefault="007B76BA" w:rsidP="007B76BA">
            <w:pPr>
              <w:pStyle w:val="a6"/>
              <w:numPr>
                <w:ilvl w:val="1"/>
                <w:numId w:val="14"/>
              </w:numPr>
              <w:spacing w:before="0" w:after="0" w:line="240" w:lineRule="atLeast"/>
              <w:ind w:right="-108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23B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Հատուկ պահանջներ</w:t>
            </w:r>
            <w:r w:rsidRPr="006A23BC">
              <w:rPr>
                <w:rFonts w:ascii="GHEA Grapalat" w:hAnsi="GHEA Grapalat"/>
                <w:sz w:val="18"/>
                <w:szCs w:val="18"/>
                <w:lang w:val="hy-AM"/>
              </w:rPr>
              <w:t>. Պատվիրատուի լրացուցիչ պահանջով Տեխ. հսկիչը պարտավոր է ներկայացնել նաև իրականացված ծառայությունները և կատարված աշխատանքները հավաստող ու հիմնավորող տեխնիկական փաստաթղթերի պատճենները (համառոտ նկարագրություն տվյալ ժամանակահատվածում իրականացված շինարարական աշխատանքների  և տեխնիկական հսկողության ծառայությունների վերաբերյալ, տեղեկանք (Ձև 2), լաբորատոր փորձարկումների արդյունքներ, նյութերի, կոնստրուկցիաների որակի համապատասխանության հավաստագրեր, ծածկված (միջանկյալ) աշխատանքների ընդունման ակտեր, ծածկված (միջանկյալ) աշխատանքների լուսանկարներ (տպագրված և էլեկտրոնային կրիչով), սխեմաներ, թույլտվություններ, և այլ անհրաժեշտ փաստաթղթեր:</w:t>
            </w:r>
          </w:p>
          <w:p w14:paraId="45CC081C" w14:textId="77777777" w:rsidR="007B76BA" w:rsidRPr="006A23BC" w:rsidRDefault="007B76BA" w:rsidP="007B76BA">
            <w:pPr>
              <w:pStyle w:val="a6"/>
              <w:numPr>
                <w:ilvl w:val="1"/>
                <w:numId w:val="14"/>
              </w:numPr>
              <w:spacing w:before="0" w:after="0" w:line="240" w:lineRule="atLeast"/>
              <w:ind w:right="-108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23B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Ավարտական հաշվետվությունը.</w:t>
            </w:r>
            <w:r w:rsidRPr="006A23BC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Ավարտական հաշվետվությունը ներկայացվում է յուրաքանչյուր շինարարական օբյեկտի մասով՝ աշխատանքների հանձնում-ընդունումից հետո՝ 10 օրյա ժամկետում կամ մինչև ծառայությունների ավարտը՝ Պատվիրատուի համար ընդունելի ձևով: Հաշվետվության մեջ պետք է ամփոփվեն բոլոր ճանապարհների (տրանսպորտային օբյեկտների) վերաբերյալ հիմնական տեղեկատվությունը, կարևոր միջոցառումները, կապալառուների կատարողականը և արդյունքները, տեխնիկական և ոչ տեխնիկական ցուցանիշները, և այլն:</w:t>
            </w:r>
          </w:p>
          <w:p w14:paraId="5D0A40D1" w14:textId="77777777" w:rsidR="007B76BA" w:rsidRDefault="007B76BA" w:rsidP="007B76BA">
            <w:pPr>
              <w:spacing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Որակյալ ծառայություն մատուցելու նպատակով Խորհրդատուն պետք է ապահովի համապատասխան անձնակազմ՝ բաղկացած որակավորված և ընդունելի փորձառություն ունեցող այնպիսի մասնագետներից, որոնք ունեն համապատասխան կարողություններ տեխնիկական բնութագրով սահմանված պարտականություններն ու գործառույթներն ապահովելու համար: Հիմնական անձնակազմում ներգրավված մասնագետների փոխարինումը կարող է իրականացվել միայն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Պատվիրատուի նախնական գրավոր համաձայնությամբ: Պատվիրատուն իրավասու է Խորհրդատուից պահանջել փոխարինելու ներգրավված ցանկացած փորձագետի կամ մասնագետի, իր վրա դրված պարտականությունների ոչ պատշաճ կատարման, մասնագիտական ոչ բավարար կարողությունների և/կամ գիտելիքների դրսևորման դեպքում: Անձնակազմի որևէ անդամի մահվան կամ անաշխատունակության դեպքում Խորհրդատուն պարտավոր է անմիջապես ապահովել տվյալ մասնագետի փոխարինումը ավելի բարձր կամ համարժեք որակավորում և փորձ ունեցող մասնագետով, առանց Պատվիրատուի համար լրացուցիչ ծախսերի: Հիմնական անձնակազմը ենթակա է հաստատման Պատվիրատուի կողմից:</w:t>
            </w:r>
          </w:p>
          <w:p w14:paraId="032632EE" w14:textId="77777777" w:rsidR="007B76BA" w:rsidRDefault="007B76BA" w:rsidP="007B76BA">
            <w:pPr>
              <w:numPr>
                <w:ilvl w:val="0"/>
                <w:numId w:val="12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Հիմնական անձնակազմը պետք է ունենա ամբողջական ներգրավվածություն ծառայությունների ողջ ժամանակահատվածի համար, չպետք է ներգրավված լինեն վարկային, դրամաշնորհային, սուբվենցիոն և այլ ներդրումային ծրագրերով ու միջոցառումներով իրականացվող շինարարական աշխատանքների նկատմամբ տեխնիկական հսկողության ծառայությունների մատուցման գործընթացում, բացառությամբ գեոդեզիստի, որի ներգրավման կոնկրետ ժամանակահատվածը պետք է սահմանվի ըստ աշխատանքների կարիքների՝ Պատվիրատուի հետ համաձայնեցված ժամանակացույցով:</w:t>
            </w:r>
          </w:p>
          <w:p w14:paraId="6B7C83BD" w14:textId="77777777" w:rsidR="007B76BA" w:rsidRDefault="007B76BA" w:rsidP="007B76BA">
            <w:pPr>
              <w:numPr>
                <w:ilvl w:val="0"/>
                <w:numId w:val="12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Համադրման, փոխարինվող աշխատանքների ակտերը պետք է հաստատվեն տեխնիկական հսկողություն իրականացնողի կողմից։</w:t>
            </w:r>
          </w:p>
          <w:p w14:paraId="4F63301A" w14:textId="77777777" w:rsidR="007B76BA" w:rsidRDefault="007B76BA" w:rsidP="007B76B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Տեղամասային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հսկիչների ներգրավվածության և տեխնիկական հսկողությունն իրկանացնող կազմակերպության ղեկավարի ներգրավվածության ժամկետը պետք է սահմանվի մինչև յուրաքանչյուր օբյեկտի շինարարական աշխատանքների ավարտական ակտի ընդունումը:</w:t>
            </w:r>
          </w:p>
          <w:p w14:paraId="76DC1301" w14:textId="2B39234C" w:rsidR="00CA2D51" w:rsidRPr="00FF3991" w:rsidRDefault="007B76BA" w:rsidP="007B76B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D91A37">
              <w:rPr>
                <w:rFonts w:ascii="GHEA Grapalat" w:hAnsi="GHEA Grapalat"/>
              </w:rPr>
              <w:t>1</w:t>
            </w:r>
            <w:r w:rsidR="00CA2D51" w:rsidRPr="007B76BA">
              <w:rPr>
                <w:rFonts w:ascii="GHEA Grapalat" w:hAnsi="GHEA Grapalat"/>
                <w:lang w:val="hy-AM"/>
              </w:rPr>
              <w:t xml:space="preserve">. </w:t>
            </w:r>
            <w:r w:rsidR="00CA2D51" w:rsidRPr="00FF3991">
              <w:rPr>
                <w:rFonts w:ascii="GHEA Grapalat" w:hAnsi="GHEA Grapalat"/>
              </w:rPr>
              <w:t>Осуществлять ежедневный и непрерывный технический надзор, обеспечивая ежедневное и непрерывное присутствие на строительной площадке назначенного поставщиком услуг технического надзора руководителя работ в соответствии с требованиями Закона РА «О градостроительстве».</w:t>
            </w:r>
          </w:p>
          <w:p w14:paraId="73D2173A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2. Соблюдать требования процедуры «Лицензирование в сфере градостроительства», утвержденной Постановлением Правительства РА № 2106-Н от 30 ноября 2023 г.</w:t>
            </w:r>
          </w:p>
          <w:p w14:paraId="5DD214AA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3. Требования строительных норм, действующих в Республике Армения,</w:t>
            </w:r>
          </w:p>
          <w:p w14:paraId="5F6F9CB1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4. Требования Приказа Министра градостроительства № 44 от 28.04.1998 «Инструкция по осуществлению технического контроля качества строительства»,</w:t>
            </w:r>
          </w:p>
          <w:p w14:paraId="57DB1175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5. Требования Постановления Правительства Республики Армения № N 596-N от 19 марта 2015 г.</w:t>
            </w:r>
          </w:p>
          <w:p w14:paraId="0A39A992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6. Требования Постановления Правительства Республики Армения № N 526-N от 4 мая 2017 г.</w:t>
            </w:r>
          </w:p>
          <w:p w14:paraId="612B0760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 Приводятся следующие положения Приказа № 44 Министра градостроительства Республики Армения от 28.04.1998 «Инструкция по осуществлению технического контроля качества строительства» (https://www.arlis.am/documentView.aspx?docID=19495):</w:t>
            </w:r>
          </w:p>
          <w:p w14:paraId="4AC6D6B3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1.1 Технический контроль осуществляется посредством контрольных осмотров, вскрытий, контрольных измерений, проверок проектного объема работ и испытаний.</w:t>
            </w:r>
          </w:p>
          <w:p w14:paraId="49276F49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</w:p>
          <w:p w14:paraId="08E530B2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 xml:space="preserve">1.1.1 Контрольный осмотр – определяет соответствие уже выполненных строительно-монтажных работ проектным решениям и </w:t>
            </w:r>
            <w:proofErr w:type="gramStart"/>
            <w:r w:rsidRPr="00FF3991">
              <w:rPr>
                <w:rFonts w:ascii="GHEA Grapalat" w:hAnsi="GHEA Grapalat"/>
              </w:rPr>
              <w:t>строительным нормам</w:t>
            </w:r>
            <w:proofErr w:type="gramEnd"/>
            <w:r w:rsidRPr="00FF3991">
              <w:rPr>
                <w:rFonts w:ascii="GHEA Grapalat" w:hAnsi="GHEA Grapalat"/>
              </w:rPr>
              <w:t xml:space="preserve"> и правилам. Контрольный осмотр может проводиться комплексно или выборочно.</w:t>
            </w:r>
          </w:p>
          <w:p w14:paraId="5B89C2BA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1.2 Результаты проверок и наблюдений оформляются в актах, протоколах, эскизах, чертежах, фотографиях, видеоматериалах и сопровождающих их сравнительных сводках, рабочих чертежах, общих журналах управления строительством.</w:t>
            </w:r>
          </w:p>
          <w:p w14:paraId="4F003DE6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</w:p>
          <w:p w14:paraId="575382B6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1.3 Инструкции и замечания по устранению выявленных дефектов, касающихся качества строительных и монтажных работ, используемых материалов, конструкций, оборудования, технологий выполнения работ и т. д., фиксируются в общем журнале управления строительством и монтажом установленной формы.</w:t>
            </w:r>
          </w:p>
          <w:p w14:paraId="39CA5802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</w:p>
          <w:p w14:paraId="229F210A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 Консультант обязан:</w:t>
            </w:r>
          </w:p>
          <w:p w14:paraId="4DC34E14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1.4.1 контролировать ход строительных работ для обеспечения соответствия детальному проекту, положениям контракта и действующим строительным нормам,</w:t>
            </w:r>
          </w:p>
          <w:p w14:paraId="5897401D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</w:p>
          <w:p w14:paraId="3D837320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1.4.2 рассматривать и утверждать план обеспечения качества подрядчика, программу работ, планы организации дорожного движения, оценивать и контролировать выполнение строительных работ,</w:t>
            </w:r>
          </w:p>
          <w:p w14:paraId="76E45D40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 xml:space="preserve">1.4.4. Проверить результаты всех лабораторных испытаний, а также сертификаты качества используемых материалов и конструкций, необходимые для обеспечения качества. При необходимости технический руководитель может </w:t>
            </w:r>
            <w:r w:rsidRPr="00FF3991">
              <w:rPr>
                <w:rFonts w:ascii="GHEA Grapalat" w:hAnsi="GHEA Grapalat"/>
              </w:rPr>
              <w:lastRenderedPageBreak/>
              <w:t>потребовать от подрядчика проведения дополнительных лабораторных испытаний.</w:t>
            </w:r>
          </w:p>
          <w:p w14:paraId="31DA5D28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1.4.5. Проверить, утвердить и контролировать источники строительных материалов, используемых подрядчиком на строительной площадке.</w:t>
            </w:r>
          </w:p>
          <w:p w14:paraId="21349994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1.4.6. Проверять и контролировать качество используемых строительных материалов и выполненных подрядчиком работ, при необходимости запрашивать изменения в тех строительных материалах и работах, которые не соответствуют требуемым стандартам качества. Для выполнения этой функции консультант должен иметь договор с компанией, проводящей соответствующие лабораторные испытания.</w:t>
            </w:r>
          </w:p>
          <w:p w14:paraId="79F498A1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</w:p>
          <w:p w14:paraId="37905ED6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1.4.7. Разъяснять подрядчику вопросы, касающиеся проектной документации и технических требований.</w:t>
            </w:r>
          </w:p>
          <w:p w14:paraId="38930572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</w:p>
          <w:p w14:paraId="7B44A7C0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1.4.8. Участвовать в разметке автомобильных дорог (транспортных сооружений) и инженерных сооружений, выполнять геодезические проверочные измерения и измерения в процессе строительства.</w:t>
            </w:r>
          </w:p>
          <w:p w14:paraId="13E45994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1.4.9 координировать вопросы, связанные с установкой, регистрацией и испытанием инженерного оборудования, с соответствующими организациями,</w:t>
            </w:r>
          </w:p>
          <w:p w14:paraId="3A4D3ABD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1.4.10 периодически проверять качество и технологическую последовательность всех выполненных строительных и монтажных работ, их соответствие проекту, строительным нормам и правилам, техническим условиям специальных работ,</w:t>
            </w:r>
          </w:p>
          <w:p w14:paraId="3FD33270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1.4.11 осуществлять промежуточную приемку ответственных сооружений и узлов, формализовать ее соответствующими актами,</w:t>
            </w:r>
          </w:p>
          <w:p w14:paraId="2442BAFF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1.4.12. В ходе строительства фиксировать на рабочих чертежах все изменения, внесенные в утвержденный проект в соответствии с установленной процедурой;</w:t>
            </w:r>
          </w:p>
          <w:p w14:paraId="2F0C86FA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 xml:space="preserve">1.4.13. Записывать в журнал управления строительством указания и замечания об обнаруженных дефектах и </w:t>
            </w:r>
            <w:r w:rsidRPr="00FF3991">
              <w:rPr>
                <w:rFonts w:ascii="Cambria Math" w:hAnsi="Cambria Math" w:cs="Cambria Math"/>
              </w:rPr>
              <w:t>​​</w:t>
            </w:r>
            <w:r w:rsidRPr="00FF3991">
              <w:rPr>
                <w:rFonts w:ascii="GHEA Grapalat" w:hAnsi="GHEA Grapalat" w:cs="GHEA Grapalat"/>
              </w:rPr>
              <w:t>их</w:t>
            </w:r>
            <w:r w:rsidRPr="00FF3991">
              <w:rPr>
                <w:rFonts w:ascii="GHEA Grapalat" w:hAnsi="GHEA Grapalat"/>
              </w:rPr>
              <w:t xml:space="preserve"> </w:t>
            </w:r>
            <w:r w:rsidRPr="00FF3991">
              <w:rPr>
                <w:rFonts w:ascii="GHEA Grapalat" w:hAnsi="GHEA Grapalat" w:cs="GHEA Grapalat"/>
              </w:rPr>
              <w:t>устранении</w:t>
            </w:r>
            <w:r w:rsidRPr="00FF3991">
              <w:rPr>
                <w:rFonts w:ascii="GHEA Grapalat" w:hAnsi="GHEA Grapalat"/>
              </w:rPr>
              <w:t>;</w:t>
            </w:r>
          </w:p>
          <w:p w14:paraId="0EA30375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1.4.14. Участвовать в проверках качества строительства, проводимых авторским надзором, государственным градостроительным надзором и другими уполномоченными органами, и контролировать своевременное устранение обнаруженных дефектов.</w:t>
            </w:r>
          </w:p>
          <w:p w14:paraId="1EC862CB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1.4.15. Внедрять и обеспечивать надлежащий контроль за соблюдением правил охраны труда. Поручить подрядчику обеспечить наличие необходимых знаков, освещения, средств обеспечения безопасности дорожного движения (например, временных и передвижных ограждений, аварийных барьеров и т. д.) на рабочих местах, а также наличие других мер безопасности в соответствии с утвержденными схемами организации дорожного движения во время строительства.</w:t>
            </w:r>
          </w:p>
          <w:p w14:paraId="0882BD92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</w:p>
          <w:p w14:paraId="1AAF49E1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1.4.16. Рассматривать и утверждать схемы организации дорожного движения и любые внесенные в них изменения.</w:t>
            </w:r>
          </w:p>
          <w:p w14:paraId="51B20D49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1.4.17 проверить все исполнительные документы, необходимые для осуществления соответствующих платежей,</w:t>
            </w:r>
          </w:p>
          <w:p w14:paraId="36B48D7A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1.4.18 проверить и утвердить исполнительные чертежи, подготовленные подрядчиком.</w:t>
            </w:r>
          </w:p>
          <w:p w14:paraId="47A440A2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</w:p>
          <w:p w14:paraId="0350735A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1.4.19 утвердить исполнительные акты, если работы выполнены надлежащим качеством и в надлежащем объеме,</w:t>
            </w:r>
          </w:p>
          <w:p w14:paraId="4065F7C5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1.4.20 в случае обнаружения незавершенных работ и дефектов составить их перечень, установить сроки их устранения, передать эти технические документы Заказчику,</w:t>
            </w:r>
          </w:p>
          <w:p w14:paraId="22DF23A0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1.4.21 участвовать в приемке замороженных (консервированных) или подвешенных строительных объектов от подрядчиков, а также в их передаче с актом, указывающим на техническое состояние этих объектов.</w:t>
            </w:r>
          </w:p>
          <w:p w14:paraId="6566808C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1.5 Приемка видов и объемов выполненных работ осуществляется:</w:t>
            </w:r>
          </w:p>
          <w:p w14:paraId="285E6961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1.5.1 путем составления актов приемки на выполненные работы,</w:t>
            </w:r>
          </w:p>
          <w:p w14:paraId="48FD8501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1.5.2 путем проверки и оценки сертификатов, подтверждающих качество выполненных работ, используемых конструкций, а также результатов лабораторных испытаний используемых материалов и сертификатов, подтверждающих их качество,</w:t>
            </w:r>
          </w:p>
          <w:p w14:paraId="40E45E3D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1.5.3 путем промежуточных актов приемки технической готовности объекта к выполнению дальнейших работ.</w:t>
            </w:r>
          </w:p>
          <w:p w14:paraId="14003310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 xml:space="preserve">1.6 Перечень основных строительно-монтажных работ, для которых необходимо составлять акты приемки выполненных работ, приведен в Приложении 1 к Приказу Министра градостроительства Республики Армения № 44 от </w:t>
            </w:r>
            <w:r w:rsidRPr="00FF3991">
              <w:rPr>
                <w:rFonts w:ascii="GHEA Grapalat" w:hAnsi="GHEA Grapalat"/>
              </w:rPr>
              <w:lastRenderedPageBreak/>
              <w:t>28.04.1998 «Инструкция по осуществлению технического контроля качества строительства». Форма акта приемки выполненных работ приведена в Приложении 2 к Приказу Министра градостроительства Республики Армения № 44 от 28.04.1998 «Инструкция по осуществлению технического контроля качества строительства». Однако, согласно ссылкам на Приложения 1 и 2, упомянутым в этом пункте, в течение 5 (пяти) дней после принятия на себя обязательства по оказанию консультационных услуг по договору,</w:t>
            </w:r>
          </w:p>
          <w:p w14:paraId="66B3ABAD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Заказчик также предоставит Поставщику услуг бланки актов приемки работ, необходимых для основных дорожных строительных работ, в соответствии с конкретными видами работ. Организация приемки работ поручается лицу, выполняющему работы. При приемке работ участвуют технический надзор застройщика, генерального подрядчика, субподрядчиков (в соответствии с их участием) и других заинтересованных сторон. Количество экземпляров актов корректируется в зависимости от количества лиц, подписывающих акт.</w:t>
            </w:r>
          </w:p>
          <w:p w14:paraId="15CDF4E6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1.7 Примерный перечень актов промежуточной приемки строительных работ и инженерного оборудования с указанием соответствующей формы см. в Приложении 3 к Приказу Министра градостроительства Республики Армения № 44 от 28.04.1998 «Инструкция по осуществлению технического контроля качества строительства».</w:t>
            </w:r>
          </w:p>
          <w:p w14:paraId="1938E85C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Одним видам строительно-монтажных работ подлежит постоянный оперативный контроль, который фиксируется в общем реестре строительно-монтажных работ.</w:t>
            </w:r>
          </w:p>
          <w:p w14:paraId="3736CBDE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Примерный перечень отдельных видов строительно-монтажных работ, подлежащих контролю качества, приведен в Приложении 4 к Приказу Министра градостроительства Республики Армения № 44 от 28.04.1998 «Инструкция по осуществлению технического контроля качества строительства».</w:t>
            </w:r>
          </w:p>
          <w:p w14:paraId="4C37D133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1. Консультант обязан в течение 3 (трех) дней после принятия на себя обязательств по оказанию услуг технического надзора в соответствии с договором предоставить Заказчику сведения об основном персонале, назначенном для технического надзора, и технических руководителях (прорабах) каждой строительной площадки (имя, фамилия, образец подписи, номер телефона), а также письменное подтверждение от каждого сотрудника о его доступности в указанный период.</w:t>
            </w:r>
          </w:p>
          <w:p w14:paraId="14616B4B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2. Ответственность: Лица, осуществляющие технический надзор, обязаны предоставлять Заказчику мобилизационные, ежемесячные и итоговые отчеты об оказанных услугах, которые являются документами, подтверждающими протоколы предоставления и приемки услуг.</w:t>
            </w:r>
          </w:p>
          <w:p w14:paraId="785DE6F2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3.1. Особые требования: По дополнительному запросу Заказчика технический руководитель также обязан предоставить копии технических документов, подтверждающих и обосновывающих оказанные услуги и выполненные работы (краткое описание строительных работ и услуг по техническому надзору, оказанных в течение указанного периода, справочный документ (форма 2), результаты лабораторных испытаний, сертификаты качества материалов и конструкций, акты приемки выполненных (промежуточных) работ, фотографии выполненных (промежуточных) работ (в печатном и электронном виде), схемы, разрешения и другие необходимые документы.</w:t>
            </w:r>
          </w:p>
          <w:p w14:paraId="4571D5CA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3.2. Заключительный отчет: Заключительный отчет по каждому строительному объекту должен быть представлен в течение 10 дней после сдачи объекта в эксплуатацию или до окончания оказания услуг в форме, приемлемой для Заказчика. В отчете должна быть обобщена основная информация обо всех дорогах (транспортных сооружениях), важных событиях, результатах работы подрядчиков, технических и нетехнических показателях и т. д.</w:t>
            </w:r>
          </w:p>
          <w:p w14:paraId="3B23743C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Для обеспечения качественного обслуживания Консультант должен предоставить соответствующий персонал, состоящий из квалифицированных и опытных специалистов, обладающих необходимыми компетенциями для выполнения обязанностей и функций, указанных в технической документации. Замена специалистов, входящих в основной персонал, может осуществляться только с предварительного письменного согласия Заказчика. Заказчик имеет право потребовать от Консультанта замены любого эксперта или специалиста в случае ненадлежащего выполнения возложенных на него обязанностей, недостаточной профессиональной квалификации и/или знаний.</w:t>
            </w:r>
          </w:p>
          <w:p w14:paraId="5A2EF112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В случае смерти или нетрудоспособности любого сотрудника Консультант обязан незамедлительно обеспечить замену специалиста специалистом с более высокой или эквивалентной квалификацией и опытом без дополнительных затрат для Заказчика. Выбор ключевого персонала подлежит утверждению Заказчиком.</w:t>
            </w:r>
          </w:p>
          <w:p w14:paraId="55E3201F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 xml:space="preserve">1. Основной персонал должен быть полностью вовлечен в процесс на протяжении всего периода оказания услуг, он не должен быть задействован в процессе предоставления услуг по техническому надзору за строительными работами, осуществляемыми в рамках кредитных, грантовых, субсидируемых и других инвестиционных программ и мер, за исключением геодезиста, конкретный период участия которого должен быть определен в соответствии с </w:t>
            </w:r>
            <w:r w:rsidRPr="00FF3991">
              <w:rPr>
                <w:rFonts w:ascii="GHEA Grapalat" w:hAnsi="GHEA Grapalat"/>
              </w:rPr>
              <w:lastRenderedPageBreak/>
              <w:t>потребностями работ в графике, согласованном с Заказчиком.</w:t>
            </w:r>
          </w:p>
          <w:p w14:paraId="0F37B4BF" w14:textId="77777777" w:rsidR="00CA2D51" w:rsidRPr="00FF399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</w:rPr>
            </w:pPr>
            <w:r w:rsidRPr="00FF3991">
              <w:rPr>
                <w:rFonts w:ascii="GHEA Grapalat" w:hAnsi="GHEA Grapalat"/>
              </w:rPr>
              <w:t>Действия по координации, замене работ должны быть согласованы с лицом, осуществляющим технический надзор.</w:t>
            </w:r>
          </w:p>
          <w:p w14:paraId="0620E315" w14:textId="671DC519" w:rsidR="00B06C79" w:rsidRPr="00CA2D51" w:rsidRDefault="00CA2D51" w:rsidP="00CA2D5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bidi="ru-RU"/>
              </w:rPr>
            </w:pPr>
            <w:r w:rsidRPr="00FF3991">
              <w:rPr>
                <w:rFonts w:ascii="GHEA Grapalat" w:hAnsi="GHEA Grapalat"/>
              </w:rPr>
              <w:t>3. Период участия руководителей строительных площадок и главы организации, осуществляющей технический надзор, должен быть определен до утверждения акта приемки строительных работ для каждого объекта.</w:t>
            </w:r>
          </w:p>
        </w:tc>
      </w:tr>
      <w:tr w:rsidR="00B06C79" w:rsidRPr="007B76BA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B06C79" w:rsidRPr="00A63F0D" w14:paraId="681596E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5812030" w:rsidR="00B06C79" w:rsidRPr="006674F6" w:rsidRDefault="00217517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20</w:t>
            </w:r>
            <w:r w:rsidR="00B06C79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B06C79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03</w:t>
            </w:r>
            <w:r w:rsidR="00B06C79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B06C79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B06C79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B06C79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30B89418" w14:textId="77777777" w:rsidTr="00D5338D">
        <w:trPr>
          <w:trHeight w:val="54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70776DB4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7B76BA" w14:paraId="10DC4861" w14:textId="77777777" w:rsidTr="00F37F9D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1"/>
            <w:shd w:val="clear" w:color="auto" w:fill="auto"/>
            <w:vAlign w:val="center"/>
          </w:tcPr>
          <w:p w14:paraId="1FD38684" w14:textId="5256F074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B06C79" w:rsidRPr="00A63F0D" w14:paraId="3FD00E3A" w14:textId="77777777" w:rsidTr="00F37F9D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0427C595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06C79" w:rsidRPr="0078049A" w14:paraId="4DA511EC" w14:textId="77777777" w:rsidTr="00D5338D">
        <w:trPr>
          <w:trHeight w:val="83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6ABF72D4" w14:textId="730B87C4" w:rsidR="00B06C79" w:rsidRPr="001864EA" w:rsidRDefault="00C265A1" w:rsidP="00B06C79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b/>
                <w:i/>
                <w:sz w:val="18"/>
                <w:szCs w:val="18"/>
                <w:lang w:val="hy-AM" w:eastAsia="en-US"/>
              </w:rPr>
            </w:pPr>
            <w:proofErr w:type="spellStart"/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Չափաբաժին</w:t>
            </w:r>
            <w:proofErr w:type="spellEnd"/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1.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Աբովյան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համայնքի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Աբովյան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քաղաքի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8-րդ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միկրոշրջան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2-րդ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թաղամասի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, 6-րդ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միկրոշրջանի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Արցախի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փողոցի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հարակից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թվով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շուրջ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50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բնակելի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տների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Հադրութ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թաղամաս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/5-րդ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միկրոշրջան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/ 4-րդ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փողոցի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գազաֆիկացման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աշխատանքների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իրականացման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համար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տեխնիկական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հսկողության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խորհրդատվական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ծառայություններ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Приобретение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услуги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по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техническому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надзору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и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консультированию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при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выполнении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работ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по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газификации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примерно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50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жилых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домов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расположенных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рядом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с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улицей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Арцах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в 8-м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микрорайоне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города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Абовян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общине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Абовян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Хадрутском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районе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 /5-м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микрорайоне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/4-й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улице</w:t>
            </w:r>
            <w:proofErr w:type="spellEnd"/>
          </w:p>
        </w:tc>
      </w:tr>
      <w:tr w:rsidR="00524ED2" w:rsidRPr="00A63F0D" w14:paraId="6D81F0AE" w14:textId="77777777" w:rsidTr="00C265A1">
        <w:trPr>
          <w:trHeight w:val="2038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7C1F58A6" w:rsidR="00524ED2" w:rsidRPr="00000CCC" w:rsidRDefault="00524ED2" w:rsidP="00524E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54EB0540" w:rsidR="00524ED2" w:rsidRPr="00876DFD" w:rsidRDefault="00524ED2" w:rsidP="00524ED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Արտակ</w:t>
            </w:r>
            <w:proofErr w:type="spellEnd"/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Մարտիրոսյան</w:t>
            </w:r>
            <w:proofErr w:type="spellEnd"/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ԱՁ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573545E9" w:rsidR="00524ED2" w:rsidRPr="0078049A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190 000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31C7D76F" w:rsidR="00524ED2" w:rsidRPr="0078049A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5AA0845B" w:rsidR="00524ED2" w:rsidRPr="0078049A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190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</w:tr>
      <w:tr w:rsidR="00524ED2" w:rsidRPr="00A63F0D" w14:paraId="35BEEC4E" w14:textId="77777777" w:rsidTr="00C265A1">
        <w:trPr>
          <w:trHeight w:val="2038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563EBDCD" w14:textId="5B027864" w:rsidR="00524ED2" w:rsidRDefault="00524ED2" w:rsidP="00524E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40044594" w14:textId="08D16C4C" w:rsidR="00524ED2" w:rsidRPr="00027AE3" w:rsidRDefault="00524ED2" w:rsidP="00524ED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Կայուն</w:t>
            </w:r>
            <w:proofErr w:type="spellEnd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Ներդրումային</w:t>
            </w:r>
            <w:proofErr w:type="spellEnd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Հիմնադրամ</w:t>
            </w:r>
            <w:proofErr w:type="spellEnd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7EEE0C03" w14:textId="65345C86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547 500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D4FD9B6" w14:textId="24CE745F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109 500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B5FD017" w14:textId="1F532560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657 000</w:t>
            </w:r>
          </w:p>
        </w:tc>
      </w:tr>
      <w:tr w:rsidR="00524ED2" w:rsidRPr="00A63F0D" w14:paraId="62C294AE" w14:textId="77777777" w:rsidTr="00C265A1">
        <w:trPr>
          <w:trHeight w:val="2038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D05EA7D" w14:textId="53CD8494" w:rsidR="00524ED2" w:rsidRDefault="00524ED2" w:rsidP="00524E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07017B61" w14:textId="0E63FE28" w:rsidR="00524ED2" w:rsidRPr="00027AE3" w:rsidRDefault="00524ED2" w:rsidP="00524ED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ԳՐԻՏԻԳ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EE6F408" w14:textId="2D19F696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D2CAECC" w14:textId="581598DB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63AA46D" w14:textId="4F95E485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600 000</w:t>
            </w:r>
          </w:p>
        </w:tc>
      </w:tr>
      <w:tr w:rsidR="00C265A1" w:rsidRPr="00A63F0D" w14:paraId="6989028F" w14:textId="77777777" w:rsidTr="00C265A1">
        <w:trPr>
          <w:trHeight w:val="2078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6BE27400" w14:textId="2E8BE2DB" w:rsidR="00C265A1" w:rsidRPr="001864EA" w:rsidRDefault="00C265A1" w:rsidP="00B06C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18"/>
                <w:szCs w:val="18"/>
              </w:rPr>
            </w:pPr>
            <w:proofErr w:type="spellStart"/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</w:rPr>
              <w:lastRenderedPageBreak/>
              <w:t>Չափաբաժին</w:t>
            </w:r>
            <w:proofErr w:type="spellEnd"/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2.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Աբովյան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համայնքի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Մայակովսկի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բնակավայրի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12-րդ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մնացած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մաս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, 15-րդ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փակուղիներ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, 13-րդ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մնացած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մաս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գազաֆիկացման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աշխատանքների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իրականացման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համար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տեխնիկական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հսկողության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խորհրդատվական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ծառայություններ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Консультационные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услуги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по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техническому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надзору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и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консультированию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при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выполнении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работ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по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газификации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на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оставшейся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части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12-й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улицы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тупиках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15-й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улицы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и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оставшейся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части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13-й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улицы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в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поселке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Маяковский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общины</w:t>
            </w:r>
            <w:proofErr w:type="spellEnd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524ED2" w:rsidRPr="00524ED2">
              <w:rPr>
                <w:rFonts w:ascii="GHEA Grapalat" w:hAnsi="GHEA Grapalat" w:cs="Sylfaen"/>
                <w:b/>
                <w:i/>
                <w:sz w:val="18"/>
                <w:szCs w:val="18"/>
              </w:rPr>
              <w:t>Абовян</w:t>
            </w:r>
            <w:proofErr w:type="spellEnd"/>
          </w:p>
        </w:tc>
      </w:tr>
      <w:tr w:rsidR="00524ED2" w:rsidRPr="00A63F0D" w14:paraId="6C56F721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8277FC4" w14:textId="782C57EA" w:rsidR="00524ED2" w:rsidRDefault="00524ED2" w:rsidP="00524E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3E5D372E" w14:textId="1FC0127C" w:rsidR="00524ED2" w:rsidRPr="00876DFD" w:rsidRDefault="00524ED2" w:rsidP="00524ED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Արտակ</w:t>
            </w:r>
            <w:proofErr w:type="spellEnd"/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Մարտիրոսյան</w:t>
            </w:r>
            <w:proofErr w:type="spellEnd"/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ԱՁ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191AA34D" w14:textId="4611F026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DF76E4E" w14:textId="052B0AB6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 xml:space="preserve">- 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84F7C0F" w14:textId="318156C4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250 000</w:t>
            </w:r>
          </w:p>
        </w:tc>
      </w:tr>
      <w:tr w:rsidR="00524ED2" w:rsidRPr="00A63F0D" w14:paraId="58896B88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6FBACF3E" w14:textId="3F1CFE40" w:rsidR="00524ED2" w:rsidRDefault="00524ED2" w:rsidP="00524E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CAD6E83" w14:textId="3F5D927C" w:rsidR="00524ED2" w:rsidRPr="00876DFD" w:rsidRDefault="00524ED2" w:rsidP="00524ED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Կայուն</w:t>
            </w:r>
            <w:proofErr w:type="spellEnd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Ներդրումային</w:t>
            </w:r>
            <w:proofErr w:type="spellEnd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Հիմնադրամ</w:t>
            </w:r>
            <w:proofErr w:type="spellEnd"/>
            <w:r w:rsidRPr="001A1F6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475947F" w14:textId="60B42AB7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770 000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DCE9E2F" w14:textId="3DC5B339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154 000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A9746F1" w14:textId="20ACB0B5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924 000</w:t>
            </w:r>
          </w:p>
        </w:tc>
      </w:tr>
      <w:tr w:rsidR="00524ED2" w:rsidRPr="00A63F0D" w14:paraId="1C7FE2A9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6CDFE141" w14:textId="59092D39" w:rsidR="00524ED2" w:rsidRDefault="00524ED2" w:rsidP="00524E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3D17605" w14:textId="61ECE15B" w:rsidR="00524ED2" w:rsidRPr="00876DFD" w:rsidRDefault="00524ED2" w:rsidP="00524ED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ԳՐԻՏԻԳ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75A97DF2" w14:textId="07A32EF8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900 000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251AED8" w14:textId="2EEF0505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2AD46C0" w14:textId="7E034DE4" w:rsidR="00524ED2" w:rsidRDefault="00524ED2" w:rsidP="00524E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900 000</w:t>
            </w:r>
          </w:p>
        </w:tc>
      </w:tr>
      <w:tr w:rsidR="00B06C79" w:rsidRPr="00BC37EF" w14:paraId="700CD07F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10ED060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7B76BA" w14:paraId="521126E1" w14:textId="77777777" w:rsidTr="00D5338D">
        <w:trPr>
          <w:trHeight w:val="527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B06C79" w:rsidRPr="007B76BA" w14:paraId="552679BF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70D59CE" w14:textId="0F23DFAA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06C79" w:rsidRPr="00A63F0D" w14:paraId="3CA6FABC" w14:textId="77777777" w:rsidTr="00D5338D"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B06C79" w:rsidRPr="00A63F0D" w:rsidRDefault="00B06C79" w:rsidP="00B06C79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B06C79" w:rsidRPr="00A63F0D" w:rsidRDefault="00B06C79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B06C79" w:rsidRPr="00A63F0D" w14:paraId="0477C95F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B06C79" w:rsidRPr="00791A5E" w:rsidRDefault="00B06C79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B06C79" w:rsidRPr="00A40CD7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B06C79" w:rsidRPr="00A40CD7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B06C79" w:rsidRPr="00BA7FBC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B06C79" w:rsidRPr="00A40CD7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B06C79" w:rsidRPr="00A63F0D" w14:paraId="32A87089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B06C79" w:rsidRPr="00277A9B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B06C79" w:rsidRDefault="00B06C79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B06C79" w:rsidRPr="00A63F0D" w14:paraId="144ECF66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B06C79" w:rsidRDefault="00B06C79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B06C79" w:rsidRPr="007B76BA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B06C79" w:rsidRPr="00FB132C" w:rsidRDefault="00B06C79" w:rsidP="00B06C7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B06C79" w:rsidRPr="007B76BA" w14:paraId="617248CD" w14:textId="77777777" w:rsidTr="00D5338D">
        <w:trPr>
          <w:trHeight w:val="289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98EB99D" w:rsidR="00B06C79" w:rsidRPr="00A63F0D" w:rsidRDefault="00FA46D2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28</w:t>
            </w:r>
            <w:r w:rsidR="00B06C79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B06C79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4</w:t>
            </w:r>
            <w:r w:rsidR="00B06C79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B06C79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B06C79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B06C79" w:rsidRPr="007B76BA" w14:paraId="71BEA872" w14:textId="77777777" w:rsidTr="00D5338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B06C79" w:rsidRPr="00A63F0D" w:rsidRDefault="00B06C79" w:rsidP="00B06C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B06C79" w:rsidRPr="00A63F0D" w:rsidRDefault="00B06C79" w:rsidP="00B06C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B06C79" w:rsidRPr="004616A6" w14:paraId="04C80107" w14:textId="77777777" w:rsidTr="00D5338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42628C" w:rsidR="00B06C79" w:rsidRPr="00D76C62" w:rsidRDefault="00FA46D2" w:rsidP="00B06C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91E032" w:rsidR="00B06C79" w:rsidRPr="00552457" w:rsidRDefault="00FA46D2" w:rsidP="00B06C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08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B06C79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B06C79" w:rsidRPr="00C36AEC" w:rsidRDefault="00B06C79" w:rsidP="00B06C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7B76BA" w14:paraId="2254FA5C" w14:textId="77777777" w:rsidTr="00D5338D">
        <w:trPr>
          <w:trHeight w:val="344"/>
        </w:trPr>
        <w:tc>
          <w:tcPr>
            <w:tcW w:w="11057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C302D9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1</w:t>
            </w:r>
            <w:r w:rsidR="00FA46D2" w:rsidRPr="00FA46D2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4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="00FA46D2" w:rsidRPr="00FA46D2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B06C79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E1C1F01" w:rsidR="00B06C79" w:rsidRPr="00D91A37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D91A37"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9</w:t>
            </w:r>
            <w:r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FA46D2"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5</w:t>
            </w:r>
            <w:r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Pr="00D91A37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B06C79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A2E754D" w:rsidR="00B06C79" w:rsidRPr="003D0D8C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D91A37"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9</w:t>
            </w:r>
            <w:r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FA46D2" w:rsidRPr="00D91A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5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</w:tr>
      <w:tr w:rsidR="00B06C79" w:rsidRPr="00A63F0D" w14:paraId="79A64497" w14:textId="77777777" w:rsidTr="00D5338D">
        <w:trPr>
          <w:trHeight w:val="50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620F225D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4E4EA255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AA249E4" w14:textId="4FE32465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06C79" w:rsidRPr="00A63F0D" w14:paraId="11F19FA1" w14:textId="77777777" w:rsidTr="00F37F9D">
        <w:trPr>
          <w:trHeight w:val="237"/>
        </w:trPr>
        <w:tc>
          <w:tcPr>
            <w:tcW w:w="993" w:type="dxa"/>
            <w:vMerge/>
            <w:shd w:val="clear" w:color="auto" w:fill="auto"/>
            <w:vAlign w:val="center"/>
          </w:tcPr>
          <w:p w14:paraId="39B67943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856C5C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B06C79" w:rsidRPr="00A63F0D" w14:paraId="4DC53241" w14:textId="77777777" w:rsidTr="00F37F9D">
        <w:trPr>
          <w:trHeight w:val="238"/>
        </w:trPr>
        <w:tc>
          <w:tcPr>
            <w:tcW w:w="993" w:type="dxa"/>
            <w:vMerge/>
            <w:shd w:val="clear" w:color="auto" w:fill="auto"/>
            <w:vAlign w:val="center"/>
          </w:tcPr>
          <w:p w14:paraId="7D858D4B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78A8417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3"/>
            <w:vMerge/>
            <w:shd w:val="clear" w:color="auto" w:fill="auto"/>
            <w:vAlign w:val="center"/>
          </w:tcPr>
          <w:p w14:paraId="078CB50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B06C79" w:rsidRPr="00A63F0D" w14:paraId="75FDA7D8" w14:textId="77777777" w:rsidTr="00F37F9D">
        <w:trPr>
          <w:trHeight w:val="263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B06C79" w:rsidRPr="00526611" w14:paraId="1E28D31D" w14:textId="77777777" w:rsidTr="00F37F9D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1F1D10DE" w14:textId="0592F3E9" w:rsidR="00B06C79" w:rsidRPr="004F4230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1CD0D1" w14:textId="35220A17" w:rsidR="00B06C79" w:rsidRPr="002067A9" w:rsidRDefault="00524ED2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Արտակ</w:t>
            </w:r>
            <w:proofErr w:type="spellEnd"/>
            <w:r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Մարտիրոսյան</w:t>
            </w:r>
            <w:proofErr w:type="spellEnd"/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ԱՁ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3233D16D" w:rsidR="00B06C79" w:rsidRPr="00524ED2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  <w:lang w:val="ru-RU"/>
              </w:rPr>
            </w:pP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ԱԲՀ-ԲՄԽԾՁԲ-2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="00DF73B4">
              <w:rPr>
                <w:rFonts w:ascii="GHEA Grapalat" w:hAnsi="GHEA Grapalat"/>
                <w:i/>
                <w:sz w:val="18"/>
                <w:szCs w:val="18"/>
              </w:rPr>
              <w:t>4</w:t>
            </w:r>
            <w:r w:rsidR="00524ED2">
              <w:rPr>
                <w:rFonts w:ascii="GHEA Grapalat" w:hAnsi="GHEA Grapalat"/>
                <w:i/>
                <w:sz w:val="18"/>
                <w:szCs w:val="18"/>
                <w:lang w:val="ru-RU"/>
              </w:rPr>
              <w:t>8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ABH-BMKhTsDzB-2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="00DF73B4">
              <w:rPr>
                <w:rFonts w:ascii="GHEA Grapalat" w:hAnsi="GHEA Grapalat"/>
                <w:i/>
                <w:sz w:val="18"/>
                <w:szCs w:val="18"/>
              </w:rPr>
              <w:t>4</w:t>
            </w:r>
            <w:r w:rsidR="00524ED2">
              <w:rPr>
                <w:rFonts w:ascii="GHEA Grapalat" w:hAnsi="GHEA Grapalat"/>
                <w:i/>
                <w:sz w:val="18"/>
                <w:szCs w:val="18"/>
                <w:lang w:val="ru-RU"/>
              </w:rPr>
              <w:t>8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08936CFF" w:rsidR="00B06C79" w:rsidRPr="00FA5640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463F2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463F20" w:rsidRPr="00463F2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9</w:t>
            </w:r>
            <w:r w:rsidRPr="00463F20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463F2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DF73B4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5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3828D525" w:rsidR="00B06C79" w:rsidRPr="00590064" w:rsidRDefault="00B06C79" w:rsidP="00B06C7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505E25">
              <w:rPr>
                <w:rFonts w:ascii="GHEA Grapalat" w:hAnsi="GHEA Grapalat"/>
                <w:i/>
                <w:lang w:val="hy-AM"/>
              </w:rPr>
              <w:t>Պայմանագրի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>) /</w:t>
            </w:r>
            <w:proofErr w:type="spellStart"/>
            <w:r w:rsidRPr="00505E25">
              <w:rPr>
                <w:rFonts w:ascii="GHEA Grapalat" w:hAnsi="GHEA Grapalat"/>
                <w:i/>
              </w:rPr>
              <w:t>շինարարական</w:t>
            </w:r>
            <w:proofErr w:type="spellEnd"/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505E25">
              <w:rPr>
                <w:rFonts w:ascii="GHEA Grapalat" w:hAnsi="GHEA Grapalat"/>
                <w:i/>
              </w:rPr>
              <w:t>աշխատանքների</w:t>
            </w:r>
            <w:proofErr w:type="spellEnd"/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505E25">
              <w:rPr>
                <w:rFonts w:ascii="GHEA Grapalat" w:hAnsi="GHEA Grapalat"/>
                <w:i/>
              </w:rPr>
              <w:t>պայմանագրի</w:t>
            </w:r>
            <w:proofErr w:type="spellEnd"/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af-ZA"/>
              </w:rPr>
              <w:t>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) / </w:t>
            </w:r>
            <w:r w:rsidRPr="00505E25">
              <w:rPr>
                <w:rFonts w:ascii="GHEA Grapalat" w:hAnsi="GHEA Grapalat"/>
                <w:i/>
                <w:lang w:val="hy-AM"/>
              </w:rPr>
              <w:t>կնքման օրվանից շին</w:t>
            </w:r>
            <w:r w:rsidRPr="00D5296A">
              <w:rPr>
                <w:rFonts w:ascii="GHEA Grapalat" w:hAnsi="GHEA Grapalat"/>
                <w:i/>
                <w:lang w:val="af-ZA"/>
              </w:rPr>
              <w:t>.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hy-AM"/>
              </w:rPr>
              <w:t>աշխատանքների ավարտ, С даты подписания договора (контракта) завершение строительных работ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6A3A27A0" w14:textId="77777777" w:rsidR="00B06C79" w:rsidRPr="00787220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540F0BC7" w14:textId="75B6432E" w:rsidR="00B06C79" w:rsidRPr="00524ED2" w:rsidRDefault="00524ED2" w:rsidP="00B67D6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524ED2">
              <w:rPr>
                <w:rFonts w:ascii="GHEA Grapalat" w:hAnsi="GHEA Grapalat"/>
                <w:bCs/>
                <w:i/>
                <w:color w:val="000000"/>
              </w:rPr>
              <w:t>440</w:t>
            </w:r>
            <w:r w:rsidRPr="00524ED2">
              <w:rPr>
                <w:rFonts w:cs="Calibri"/>
                <w:bCs/>
                <w:i/>
                <w:color w:val="000000"/>
              </w:rPr>
              <w:t> </w:t>
            </w:r>
            <w:r w:rsidRPr="00524ED2"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5BD3A8C6" w:rsidR="00B06C79" w:rsidRPr="00524ED2" w:rsidRDefault="00524ED2" w:rsidP="00B67D6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524ED2">
              <w:rPr>
                <w:rFonts w:ascii="GHEA Grapalat" w:hAnsi="GHEA Grapalat"/>
                <w:bCs/>
                <w:i/>
                <w:color w:val="000000"/>
              </w:rPr>
              <w:t>440</w:t>
            </w:r>
            <w:r w:rsidRPr="00524ED2">
              <w:rPr>
                <w:rFonts w:cs="Calibri"/>
                <w:bCs/>
                <w:i/>
                <w:color w:val="000000"/>
              </w:rPr>
              <w:t> </w:t>
            </w:r>
            <w:r w:rsidRPr="00524ED2"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</w:tr>
      <w:tr w:rsidR="00B06C79" w:rsidRPr="007B76BA" w14:paraId="41E4ED39" w14:textId="77777777" w:rsidTr="00D5338D">
        <w:trPr>
          <w:trHeight w:val="150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7265AE84" w14:textId="21A6CA25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06C79" w:rsidRPr="007B76BA" w14:paraId="1F657639" w14:textId="77777777" w:rsidTr="00F37F9D">
        <w:trPr>
          <w:trHeight w:val="1308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06C79" w:rsidRPr="00A63F0D" w14:paraId="20BC55B9" w14:textId="77777777" w:rsidTr="00F37F9D">
        <w:trPr>
          <w:trHeight w:val="4101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6C37B8D" w:rsidR="00B06C79" w:rsidRPr="000F7BE6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F7BE6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3F31FB" w:rsidR="00B06C79" w:rsidRPr="000F7BE6" w:rsidRDefault="00524ED2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Արտակ</w:t>
            </w:r>
            <w:proofErr w:type="spellEnd"/>
            <w:r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Մարտիրոսյան</w:t>
            </w:r>
            <w:proofErr w:type="spellEnd"/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ԱՁ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F221963" w:rsidR="00B06C79" w:rsidRPr="00524ED2" w:rsidRDefault="00524ED2" w:rsidP="00524ED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</w:pPr>
            <w:r w:rsidRPr="00524ED2"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  <w:t>Գեղարքունիքի մարզ, գ.Գեղաքար, 2 փողոց, 4 տուն, +37494008006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E56D3" w14:textId="77777777" w:rsidR="00B06C79" w:rsidRPr="000F7BE6" w:rsidRDefault="00B06C79" w:rsidP="001B49EF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7F71670" w14:textId="5C65A404" w:rsidR="00B06C79" w:rsidRPr="000F7BE6" w:rsidRDefault="00524ED2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proofErr w:type="gramStart"/>
            <w:r w:rsidRPr="001B49EF">
              <w:rPr>
                <w:rFonts w:ascii="GHEA Grapalat" w:hAnsi="GHEA Grapalat" w:cs="Sylfaen"/>
                <w:i/>
                <w:sz w:val="20"/>
                <w:szCs w:val="20"/>
              </w:rPr>
              <w:t>artak.martirosyan</w:t>
            </w:r>
            <w:proofErr w:type="gramEnd"/>
            <w:r w:rsidRPr="001B49EF">
              <w:rPr>
                <w:rFonts w:ascii="GHEA Grapalat" w:hAnsi="GHEA Grapalat" w:cs="Sylfaen"/>
                <w:i/>
                <w:sz w:val="20"/>
                <w:szCs w:val="20"/>
              </w:rPr>
              <w:t>.2022@</w:t>
            </w:r>
            <w:r w:rsidR="001B49EF">
              <w:rPr>
                <w:rFonts w:ascii="GHEA Grapalat" w:hAnsi="GHEA Grapalat" w:cs="Sylfaen"/>
                <w:i/>
                <w:sz w:val="20"/>
                <w:szCs w:val="20"/>
              </w:rPr>
              <w:br/>
            </w:r>
            <w:bookmarkStart w:id="0" w:name="_GoBack"/>
            <w:bookmarkEnd w:id="0"/>
            <w:r w:rsidRPr="001B49EF">
              <w:rPr>
                <w:rFonts w:ascii="GHEA Grapalat" w:hAnsi="GHEA Grapalat" w:cs="Sylfaen"/>
                <w:i/>
                <w:sz w:val="20"/>
                <w:szCs w:val="20"/>
              </w:rPr>
              <w:t>inbox.ru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7D8D810" w:rsidR="00B06C79" w:rsidRPr="000F7BE6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</w:t>
            </w:r>
            <w:r w:rsidR="00D9491C">
              <w:rPr>
                <w:rFonts w:ascii="GHEA Grapalat" w:hAnsi="GHEA Grapalat" w:cs="Sylfaen"/>
                <w:i/>
                <w:sz w:val="20"/>
                <w:szCs w:val="20"/>
              </w:rPr>
              <w:t>19300548769200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B7414F2" w:rsidR="00B06C79" w:rsidRPr="000F7BE6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</w:t>
            </w:r>
            <w:r w:rsidR="00D9491C">
              <w:rPr>
                <w:rFonts w:ascii="GHEA Grapalat" w:hAnsi="GHEA Grapalat" w:cs="Sylfaen"/>
                <w:i/>
                <w:sz w:val="20"/>
                <w:szCs w:val="20"/>
              </w:rPr>
              <w:t>74370639</w:t>
            </w:r>
          </w:p>
        </w:tc>
      </w:tr>
      <w:tr w:rsidR="00B06C79" w:rsidRPr="00BB6C26" w14:paraId="496A046D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393BE26B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7B76BA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B06C79" w:rsidRPr="007B76BA" w14:paraId="485BF528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60FF974B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7B76BA" w14:paraId="7DB42300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0AD8E25E" w14:textId="0F77BF35" w:rsidR="00B06C79" w:rsidRPr="00A63F0D" w:rsidRDefault="00B06C79" w:rsidP="00B06C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B06C79" w:rsidRPr="00A63F0D" w:rsidRDefault="00B06C79" w:rsidP="00B06C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06C79" w:rsidRPr="00A63F0D" w:rsidRDefault="00B06C79" w:rsidP="00B06C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06C79" w:rsidRPr="00A63F0D" w:rsidRDefault="00B06C79" w:rsidP="00B06C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06C79" w:rsidRPr="00A63F0D" w:rsidRDefault="00B06C79" w:rsidP="00B06C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06C79" w:rsidRPr="00A63F0D" w:rsidRDefault="00B06C79" w:rsidP="00B06C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06C79" w:rsidRPr="00A63F0D" w:rsidRDefault="00B06C79" w:rsidP="00B06C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06C79" w:rsidRPr="00A63F0D" w:rsidRDefault="00B06C79" w:rsidP="00B06C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B06C79" w:rsidRPr="00A63F0D" w:rsidRDefault="00B06C79" w:rsidP="00B06C79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B06C79" w:rsidRPr="007B76BA" w14:paraId="3CC8B38C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02AFA8BF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7B76BA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7B76BA" w14:paraId="5A7FED5D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0C88E28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7B76BA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7B76BA" w14:paraId="541BD7F7" w14:textId="77777777" w:rsidTr="00D5338D">
        <w:trPr>
          <w:trHeight w:val="288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7B76BA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7B76BA" w14:paraId="1DAD5D5C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57597369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7B76BA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B06C79" w:rsidRPr="007B76BA" w14:paraId="406B68D6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79EAD14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B06C79" w:rsidRPr="007B76BA" w14:paraId="1A2BD291" w14:textId="77777777" w:rsidTr="00D5338D">
        <w:trPr>
          <w:trHeight w:val="227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73A19DB3" w14:textId="6C7A151C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B06C79" w:rsidRPr="007B76BA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B06C79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B06C79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EC422" w14:textId="77777777" w:rsidR="001947D7" w:rsidRDefault="001947D7" w:rsidP="0022631D">
      <w:pPr>
        <w:spacing w:before="0" w:after="0"/>
      </w:pPr>
      <w:r>
        <w:separator/>
      </w:r>
    </w:p>
  </w:endnote>
  <w:endnote w:type="continuationSeparator" w:id="0">
    <w:p w14:paraId="47AD1ED8" w14:textId="77777777" w:rsidR="001947D7" w:rsidRDefault="001947D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87" w:usb1="00000000" w:usb2="00000000" w:usb3="00000000" w:csb0="0000001B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66D8B" w14:textId="77777777" w:rsidR="001947D7" w:rsidRDefault="001947D7" w:rsidP="0022631D">
      <w:pPr>
        <w:spacing w:before="0" w:after="0"/>
      </w:pPr>
      <w:r>
        <w:separator/>
      </w:r>
    </w:p>
  </w:footnote>
  <w:footnote w:type="continuationSeparator" w:id="0">
    <w:p w14:paraId="48C51D75" w14:textId="77777777" w:rsidR="001947D7" w:rsidRDefault="001947D7" w:rsidP="0022631D">
      <w:pPr>
        <w:spacing w:before="0" w:after="0"/>
      </w:pPr>
      <w:r>
        <w:continuationSeparator/>
      </w:r>
    </w:p>
  </w:footnote>
  <w:footnote w:id="1">
    <w:p w14:paraId="73E33F31" w14:textId="77777777" w:rsidR="00730745" w:rsidRPr="00541A77" w:rsidRDefault="00730745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30745" w:rsidRPr="002D0BF6" w:rsidRDefault="0073074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30745" w:rsidRPr="002D0BF6" w:rsidRDefault="0073074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30745" w:rsidRPr="002D0BF6" w:rsidRDefault="0073074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30745" w:rsidRPr="002D0BF6" w:rsidRDefault="0073074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30745" w:rsidRPr="00871366" w:rsidRDefault="0073074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30745" w:rsidRPr="002D0BF6" w:rsidRDefault="00730745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30745" w:rsidRPr="0078682E" w:rsidRDefault="0073074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30745" w:rsidRPr="0078682E" w:rsidRDefault="00730745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30745" w:rsidRPr="00005B9C" w:rsidRDefault="00730745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A4735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3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960A4"/>
    <w:rsid w:val="0009781E"/>
    <w:rsid w:val="000A2E2B"/>
    <w:rsid w:val="000B0199"/>
    <w:rsid w:val="000B2FCC"/>
    <w:rsid w:val="000C33CF"/>
    <w:rsid w:val="000C5DD7"/>
    <w:rsid w:val="000D07C0"/>
    <w:rsid w:val="000D2C12"/>
    <w:rsid w:val="000D2CB4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7D7"/>
    <w:rsid w:val="00194B57"/>
    <w:rsid w:val="001A1999"/>
    <w:rsid w:val="001A5E28"/>
    <w:rsid w:val="001A6EDC"/>
    <w:rsid w:val="001B024E"/>
    <w:rsid w:val="001B1D56"/>
    <w:rsid w:val="001B49EF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67A9"/>
    <w:rsid w:val="00207B08"/>
    <w:rsid w:val="00215865"/>
    <w:rsid w:val="00215A4B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60A7B"/>
    <w:rsid w:val="00260CC9"/>
    <w:rsid w:val="00262CED"/>
    <w:rsid w:val="00265DC0"/>
    <w:rsid w:val="0027072A"/>
    <w:rsid w:val="002725F2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E4E6F"/>
    <w:rsid w:val="002F16CC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4C23"/>
    <w:rsid w:val="00446C88"/>
    <w:rsid w:val="00460FE5"/>
    <w:rsid w:val="004616A6"/>
    <w:rsid w:val="00463F20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5E4A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4230"/>
    <w:rsid w:val="004F4611"/>
    <w:rsid w:val="005012A2"/>
    <w:rsid w:val="00503BCC"/>
    <w:rsid w:val="00510FD4"/>
    <w:rsid w:val="005143AE"/>
    <w:rsid w:val="00517CCE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20A5D"/>
    <w:rsid w:val="006230C8"/>
    <w:rsid w:val="00623367"/>
    <w:rsid w:val="006235CE"/>
    <w:rsid w:val="006237C0"/>
    <w:rsid w:val="00626915"/>
    <w:rsid w:val="00627C43"/>
    <w:rsid w:val="0063163C"/>
    <w:rsid w:val="006322D1"/>
    <w:rsid w:val="00633DD5"/>
    <w:rsid w:val="00635F2C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F3A"/>
    <w:rsid w:val="00675BD3"/>
    <w:rsid w:val="00676D85"/>
    <w:rsid w:val="00677E18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B76BA"/>
    <w:rsid w:val="007C4EBC"/>
    <w:rsid w:val="007C6D46"/>
    <w:rsid w:val="007D16DE"/>
    <w:rsid w:val="007D42F7"/>
    <w:rsid w:val="007D5145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A5BD0"/>
    <w:rsid w:val="008B078C"/>
    <w:rsid w:val="008B246E"/>
    <w:rsid w:val="008B50B5"/>
    <w:rsid w:val="008B53FB"/>
    <w:rsid w:val="008B77D8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2459"/>
    <w:rsid w:val="00982F9C"/>
    <w:rsid w:val="00984D92"/>
    <w:rsid w:val="00990D6D"/>
    <w:rsid w:val="00992B23"/>
    <w:rsid w:val="00995DC8"/>
    <w:rsid w:val="00997D92"/>
    <w:rsid w:val="009A5102"/>
    <w:rsid w:val="009B023C"/>
    <w:rsid w:val="009B072A"/>
    <w:rsid w:val="009C119C"/>
    <w:rsid w:val="009C5E0F"/>
    <w:rsid w:val="009D12FD"/>
    <w:rsid w:val="009D1336"/>
    <w:rsid w:val="009D379A"/>
    <w:rsid w:val="009D3AF9"/>
    <w:rsid w:val="009E4412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E3F"/>
    <w:rsid w:val="00A1323F"/>
    <w:rsid w:val="00A14802"/>
    <w:rsid w:val="00A200A6"/>
    <w:rsid w:val="00A20D4A"/>
    <w:rsid w:val="00A214DC"/>
    <w:rsid w:val="00A24874"/>
    <w:rsid w:val="00A24A80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4027"/>
    <w:rsid w:val="00A57DE8"/>
    <w:rsid w:val="00A62347"/>
    <w:rsid w:val="00A63F0D"/>
    <w:rsid w:val="00A67FD1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3588"/>
    <w:rsid w:val="00B83A20"/>
    <w:rsid w:val="00B83F89"/>
    <w:rsid w:val="00B91DE2"/>
    <w:rsid w:val="00B9478D"/>
    <w:rsid w:val="00B94EA2"/>
    <w:rsid w:val="00B97748"/>
    <w:rsid w:val="00BA03B0"/>
    <w:rsid w:val="00BA4838"/>
    <w:rsid w:val="00BA7FBC"/>
    <w:rsid w:val="00BB0A93"/>
    <w:rsid w:val="00BB295E"/>
    <w:rsid w:val="00BB3187"/>
    <w:rsid w:val="00BB3E88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5C5D"/>
    <w:rsid w:val="00C265A1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0E7D"/>
    <w:rsid w:val="00C96337"/>
    <w:rsid w:val="00C96BED"/>
    <w:rsid w:val="00CA0A1E"/>
    <w:rsid w:val="00CA1768"/>
    <w:rsid w:val="00CA1EAF"/>
    <w:rsid w:val="00CA2D51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6C62"/>
    <w:rsid w:val="00D80C64"/>
    <w:rsid w:val="00D82DBC"/>
    <w:rsid w:val="00D85612"/>
    <w:rsid w:val="00D90084"/>
    <w:rsid w:val="00D91A37"/>
    <w:rsid w:val="00D9491C"/>
    <w:rsid w:val="00DA0D87"/>
    <w:rsid w:val="00DA32DD"/>
    <w:rsid w:val="00DA76B2"/>
    <w:rsid w:val="00DB65F9"/>
    <w:rsid w:val="00DB6E97"/>
    <w:rsid w:val="00DB7093"/>
    <w:rsid w:val="00DB7F4B"/>
    <w:rsid w:val="00DC0D0D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7F9D"/>
    <w:rsid w:val="00F40D31"/>
    <w:rsid w:val="00F40E7C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85264"/>
    <w:rsid w:val="00F86BA6"/>
    <w:rsid w:val="00F916C4"/>
    <w:rsid w:val="00F91DBF"/>
    <w:rsid w:val="00F91F99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6B0E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A441-C517-4AE5-BD6C-E44DA99D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5404</Words>
  <Characters>30806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953</cp:revision>
  <cp:lastPrinted>2023-04-25T07:21:00Z</cp:lastPrinted>
  <dcterms:created xsi:type="dcterms:W3CDTF">2021-06-28T12:08:00Z</dcterms:created>
  <dcterms:modified xsi:type="dcterms:W3CDTF">2026-05-20T07:31:00Z</dcterms:modified>
</cp:coreProperties>
</file>