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3BF5460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0B2597" w:rsidRPr="000B2597">
        <w:rPr>
          <w:rFonts w:ascii="GHEA Grapalat" w:hAnsi="GHEA Grapalat"/>
          <w:sz w:val="20"/>
          <w:lang w:val="af-ZA"/>
        </w:rPr>
        <w:t>ծրագրային ապահովման հետ կապված խորհրդատվական 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bookmarkStart w:id="0" w:name="_Hlk147901205"/>
      <w:r w:rsidR="000B2597" w:rsidRPr="000B2597">
        <w:rPr>
          <w:rFonts w:ascii="GHEA Grapalat" w:hAnsi="GHEA Grapalat"/>
          <w:sz w:val="20"/>
          <w:lang w:val="af-ZA"/>
        </w:rPr>
        <w:t>ՀԿԱԾ-ՀԲՄԽԾՁԲ-23/69</w:t>
      </w:r>
      <w:bookmarkEnd w:id="0"/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18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B259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B259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B259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2597" w:rsidRPr="00A456AF" w14:paraId="6CB0AC86" w14:textId="77777777" w:rsidTr="000B259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B2597" w:rsidRPr="001176FF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7AC22A" w:rsidR="000B2597" w:rsidRPr="000B2597" w:rsidRDefault="000B2597" w:rsidP="000B2597">
            <w:pPr>
              <w:tabs>
                <w:tab w:val="left" w:pos="1248"/>
              </w:tabs>
              <w:spacing w:before="0" w:after="0"/>
              <w:ind w:left="26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Ծրագրային</w:t>
            </w:r>
            <w:proofErr w:type="spellEnd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ապահովման</w:t>
            </w:r>
            <w:proofErr w:type="spellEnd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հետ</w:t>
            </w:r>
            <w:proofErr w:type="spellEnd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կապված</w:t>
            </w:r>
            <w:proofErr w:type="spellEnd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խորհրդատվական</w:t>
            </w:r>
            <w:proofErr w:type="spellEnd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597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0B2597" w:rsidRPr="001176FF" w:rsidRDefault="000B2597" w:rsidP="000B25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0B2597" w:rsidRPr="001176FF" w:rsidRDefault="000B2597" w:rsidP="000B25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0B2597" w:rsidRPr="001176FF" w:rsidRDefault="000B2597" w:rsidP="000B25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0B2597" w:rsidRPr="001176FF" w:rsidRDefault="000B2597" w:rsidP="000B25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890FEEE" w:rsidR="000B2597" w:rsidRPr="001176FF" w:rsidRDefault="000B2597" w:rsidP="000B25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0B2597" w:rsidRPr="001E310B" w:rsidRDefault="000B2597" w:rsidP="000B2597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0B2597" w:rsidRPr="001E310B" w:rsidRDefault="000B2597" w:rsidP="000B2597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0B2597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0B2597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13EFD4" w:rsidR="001E310B" w:rsidRPr="0022631D" w:rsidRDefault="000B2597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11.10</w:t>
            </w:r>
            <w:r w:rsidR="004E1A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6ECAA25A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FA47DA9" w:rsidR="001E310B" w:rsidRPr="000B2597" w:rsidRDefault="000B259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1" w:name="_Hlk121386814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Գրանթ</w:t>
            </w:r>
            <w:proofErr w:type="spellEnd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Թորնթոն</w:t>
            </w:r>
            <w:proofErr w:type="spellEnd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Քնսալթինգ</w:t>
            </w:r>
            <w:proofErr w:type="spellEnd"/>
            <w:r w:rsidRP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ՓԲԸ</w:t>
            </w:r>
            <w:bookmarkEnd w:id="1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C360363" w:rsidR="001E310B" w:rsidRPr="00BF01AB" w:rsidRDefault="000B259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9CBE1F2" w:rsidR="001E310B" w:rsidRPr="00A456AF" w:rsidRDefault="000B259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  <w:r w:rsidR="00A456A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EB0C056" w:rsidR="001E310B" w:rsidRPr="00BF01AB" w:rsidRDefault="000B259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6000000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E68914B" w:rsidR="001E310B" w:rsidRPr="0022631D" w:rsidRDefault="000B259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27.10</w:t>
            </w:r>
            <w:r w:rsidR="004E1A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EC356D2" w:rsidR="001E310B" w:rsidRPr="0022631D" w:rsidRDefault="00CC4F3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E6A781" w:rsidR="001E310B" w:rsidRPr="0022631D" w:rsidRDefault="00CC4F3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78B84B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0B259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03.11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257514" w:rsidR="001E310B" w:rsidRPr="0022631D" w:rsidRDefault="000B259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07.11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6C19C8E" w:rsidR="001E310B" w:rsidRPr="0022631D" w:rsidRDefault="000B259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10.11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B2597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B2597" w:rsidRPr="001D6BC2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997990A" w:rsidR="000B2597" w:rsidRPr="000B2597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«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Գրանթ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Թորնթոն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Քնսալթինգ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804AF30" w:rsidR="000B2597" w:rsidRPr="000B2597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25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ՀԿԱԾ-ՀԲՄԽԾՁԲ-23/69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7077DEB" w:rsidR="000B2597" w:rsidRPr="001D6BC2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10.11.2023թ.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673605F6" w:rsidR="000B2597" w:rsidRPr="000B2597" w:rsidRDefault="000B2597" w:rsidP="000B25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25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Համապատասխան ֆինանսական միջոցներ նախատեսվելու դեպքում կողմերի </w:t>
            </w:r>
            <w:proofErr w:type="spellStart"/>
            <w:r w:rsidRPr="000B25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միջև</w:t>
            </w:r>
            <w:proofErr w:type="spellEnd"/>
            <w:r w:rsidRPr="000B25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կնքվող համաձայնագիրն ուժի մեջ մտնելու օրվանից համաձայն տեխնիկական բնութագրի: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0B2597" w:rsidRPr="001D6BC2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1A63C24D" w:rsidR="000B2597" w:rsidRPr="001D6BC2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2A4DB404" w:rsidR="000B2597" w:rsidRPr="001D6BC2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B2597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B2597" w:rsidRPr="0022631D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8F2C990" w:rsidR="000B2597" w:rsidRPr="0022631D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«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Գրանթ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Թորնթոն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Քնսալթինգ</w:t>
            </w:r>
            <w:proofErr w:type="spellEnd"/>
            <w:r w:rsidRPr="000B25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6CE3195" w:rsidR="000B2597" w:rsidRPr="00CC4F37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ՀՀ, </w:t>
            </w:r>
            <w:r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ք. </w:t>
            </w:r>
            <w:proofErr w:type="spellStart"/>
            <w:r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Երևան</w:t>
            </w:r>
            <w:proofErr w:type="spellEnd"/>
            <w:r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, Սուրբ Գրիգոր Լուսավորիչի փող., 9 շենք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BF25EE7" w:rsidR="000B2597" w:rsidRPr="00A456AF" w:rsidRDefault="000B2597" w:rsidP="000B2597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0B2597">
              <w:rPr>
                <w:rStyle w:val="Hyperlink"/>
                <w:rFonts w:eastAsia="MS Mincho" w:cs="Times New Roman"/>
                <w:sz w:val="14"/>
                <w:szCs w:val="14"/>
                <w:shd w:val="clear" w:color="auto" w:fill="FFFFFF"/>
                <w:lang w:val="en-US"/>
              </w:rPr>
              <w:t>gta@am.gt.com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D4332F7" w:rsidR="000B2597" w:rsidRPr="00CC4F37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1510045914270100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1D813C0" w:rsidR="000B2597" w:rsidRPr="00CC4F37" w:rsidRDefault="000B2597" w:rsidP="000B25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ՀՎՀՀ </w:t>
            </w:r>
            <w:r w:rsidR="00CC4F37" w:rsidRPr="00CC4F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00120086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B2597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0B2597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B259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0B2597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B259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0B2597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69FFDBB5" w14:textId="58707F25" w:rsidR="00F214D9" w:rsidRPr="00F566BF" w:rsidRDefault="00F214D9" w:rsidP="003C4554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3F030EE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62713A8F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38C9EA8F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4C67F110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3BC11DC8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73E8D40F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418ADB63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6D25EACF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488735CA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2FE55968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7EF4D960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</w:pPr>
    </w:p>
    <w:p w14:paraId="1CFFDA57" w14:textId="77777777" w:rsidR="00C870C2" w:rsidRDefault="00C870C2" w:rsidP="00CC4F37">
      <w:pPr>
        <w:spacing w:before="0" w:after="0"/>
        <w:jc w:val="right"/>
        <w:rPr>
          <w:rFonts w:ascii="GHEA Grapalat" w:hAnsi="GHEA Grapalat"/>
          <w:sz w:val="20"/>
          <w:lang w:val="hy-AM"/>
        </w:rPr>
        <w:sectPr w:rsidR="00C870C2" w:rsidSect="001D6BC2">
          <w:pgSz w:w="11907" w:h="16840" w:code="9"/>
          <w:pgMar w:top="567" w:right="562" w:bottom="284" w:left="993" w:header="706" w:footer="706" w:gutter="0"/>
          <w:cols w:space="708"/>
          <w:docGrid w:linePitch="360"/>
        </w:sectPr>
      </w:pPr>
    </w:p>
    <w:tbl>
      <w:tblPr>
        <w:tblW w:w="1575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50"/>
      </w:tblGrid>
      <w:tr w:rsidR="00C870C2" w:rsidRPr="00C870C2" w14:paraId="687F743E" w14:textId="77777777" w:rsidTr="00D3324A">
        <w:trPr>
          <w:trHeight w:val="417"/>
        </w:trPr>
        <w:tc>
          <w:tcPr>
            <w:tcW w:w="1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FB88" w14:textId="77777777" w:rsidR="00C870C2" w:rsidRPr="00C870C2" w:rsidRDefault="00C870C2" w:rsidP="00C870C2">
            <w:pP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Տեխնիկական բնութագիր</w:t>
            </w:r>
          </w:p>
          <w:p w14:paraId="047F7D0E" w14:textId="77777777" w:rsidR="00C870C2" w:rsidRPr="00C870C2" w:rsidRDefault="00C870C2" w:rsidP="00C870C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Կազմակերպությունը (այսուհետ՝ Խորհրդատու) ուսումնասիրում է ՀՀ արդարադատության նախարարության հարկադիր կատարումն ապահովող ծառայության (այսուհետ՝ Պատվիրատու) և «Առանց իրավաբանական անձի կազմավորման համատեղ գործունեության» 2023 թվականի փետրվարի 28-ի պայմանագրի հիման վրա «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Մեյսիս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Ինֆորմեյշն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Սիսթեմս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» ՍՊԸ-ի և «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Զեթ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Թեքնոլոջի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» ՍՊԸ-ի (միասին այսուհետ՝ Կատարող)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միջև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2023 թվականի մայիսի 3-ին կնքված ՀԿԱԾ-ԶԹ2023/3 պայմանագրի  (այսուհետ՝ Պայմանագիր, կցվում է) տեխնիկական բնութագրով և ծառայությունների մատուցման ժամանակացույցով նախատեսվող աշխատանքների ծավալը և իրականացնում Պայմանագրի կատարված փուլերի ստուգում, տալիս մասնագիտական եզրակացություն՝ Պայմանագրի պահանջներին բավարարելու, մասնակի բավարարելու կամ չհամապատասխանելու վերաբերյալ: Մասնագիտական եզրակացությունը հիմք է հանդիսանալու Պատվիրատուի համար Կատարողի ծառայություններն ընդունելու համար:</w:t>
            </w:r>
          </w:p>
          <w:p w14:paraId="29ED4440" w14:textId="77777777" w:rsidR="00C870C2" w:rsidRPr="00C870C2" w:rsidRDefault="00C870C2" w:rsidP="00C870C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Խորհրդատուն Պատվիրատուի հետ պետք է հստակեցնի առկա կարիքների և տեխնիկական առաջադրանքին վերաբերող իրավական ակտերի շրջանակը: </w:t>
            </w:r>
          </w:p>
          <w:p w14:paraId="0E600DA4" w14:textId="77777777" w:rsidR="00C870C2" w:rsidRPr="00C870C2" w:rsidRDefault="00C870C2" w:rsidP="00C870C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Տեխնիկական առաջադրանքով (այսուհետ ՏԱ) նախատեսված պահանջներով Խորհրդատուն մշակվող Կարգում պետք է նախատեսի այն ստուգելու և գնահատելու ցուցանիշներն ըստ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աղյուսակի՝</w:t>
            </w:r>
          </w:p>
          <w:tbl>
            <w:tblPr>
              <w:tblW w:w="144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996"/>
              <w:gridCol w:w="2206"/>
              <w:gridCol w:w="2122"/>
              <w:gridCol w:w="6537"/>
            </w:tblGrid>
            <w:tr w:rsidR="00C870C2" w:rsidRPr="00C870C2" w14:paraId="2A3FAA47" w14:textId="77777777" w:rsidTr="00D3324A">
              <w:trPr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15F7FD82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Հ/հ</w:t>
                  </w:r>
                </w:p>
              </w:tc>
              <w:tc>
                <w:tcPr>
                  <w:tcW w:w="2996" w:type="dxa"/>
                  <w:shd w:val="clear" w:color="auto" w:fill="auto"/>
                </w:tcPr>
                <w:p w14:paraId="58AEDD95" w14:textId="5898704B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Պահանջ</w:t>
                  </w: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(նկարագրությունը, նշելով փաստաթուղթը (ՏԱ կամ իրավական ակտ), գլուխ, բաժին, կետ, ենթակետ, պարբերություն)</w:t>
                  </w:r>
                </w:p>
              </w:tc>
              <w:tc>
                <w:tcPr>
                  <w:tcW w:w="2206" w:type="dxa"/>
                  <w:shd w:val="clear" w:color="auto" w:fill="auto"/>
                </w:tcPr>
                <w:p w14:paraId="4F356195" w14:textId="3F6F52EE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Ստուգման միջոց</w:t>
                  </w: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(որ փաստաթղթում է ներկայացված, գլուխ, բաժին, կետ, ենթակետ, պարբերություն)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14:paraId="4DED6725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Իրականացման ծավալը</w:t>
                  </w:r>
                </w:p>
                <w:p w14:paraId="279AE45D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(հակիրճ նկարագրությունը)</w:t>
                  </w:r>
                </w:p>
              </w:tc>
              <w:tc>
                <w:tcPr>
                  <w:tcW w:w="6537" w:type="dxa"/>
                  <w:shd w:val="clear" w:color="auto" w:fill="auto"/>
                </w:tcPr>
                <w:p w14:paraId="7C37892A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Մասնագիտական կարծիք</w:t>
                  </w:r>
                </w:p>
                <w:p w14:paraId="7996181A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(1. </w:t>
                  </w: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բավարարում է, մասնակի է բավարարում, չի համապատասխանում, </w:t>
                  </w:r>
                </w:p>
                <w:p w14:paraId="0E27836D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/</w:t>
                  </w:r>
                </w:p>
                <w:p w14:paraId="1CE9A851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2. ընդունելի է, </w:t>
                  </w:r>
                </w:p>
                <w:p w14:paraId="4AEAFC59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կամ</w:t>
                  </w:r>
                </w:p>
                <w:p w14:paraId="33DFC2C4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3. պետք է ներկայացվի կամ </w:t>
                  </w:r>
                  <w:proofErr w:type="spellStart"/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>լրամշակվի</w:t>
                  </w:r>
                  <w:proofErr w:type="spellEnd"/>
                  <w:r w:rsidRPr="00C870C2"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հաջորդ փուլում</w:t>
                  </w: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)</w:t>
                  </w:r>
                </w:p>
              </w:tc>
            </w:tr>
            <w:tr w:rsidR="00C870C2" w:rsidRPr="00C870C2" w14:paraId="040617A5" w14:textId="77777777" w:rsidTr="00D3324A">
              <w:trPr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67742DCC" w14:textId="77777777" w:rsidR="00C870C2" w:rsidRPr="00C870C2" w:rsidRDefault="00C870C2" w:rsidP="00C870C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996" w:type="dxa"/>
                  <w:shd w:val="clear" w:color="auto" w:fill="auto"/>
                </w:tcPr>
                <w:p w14:paraId="6F0DDA4D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206" w:type="dxa"/>
                  <w:shd w:val="clear" w:color="auto" w:fill="auto"/>
                </w:tcPr>
                <w:p w14:paraId="017CAB18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26BC7995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6537" w:type="dxa"/>
                  <w:shd w:val="clear" w:color="auto" w:fill="auto"/>
                </w:tcPr>
                <w:p w14:paraId="27911602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C870C2" w:rsidRPr="00C870C2" w14:paraId="6EEE6810" w14:textId="77777777" w:rsidTr="00D3324A">
              <w:trPr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78C5C6A7" w14:textId="77777777" w:rsidR="00C870C2" w:rsidRPr="00C870C2" w:rsidRDefault="00C870C2" w:rsidP="00C870C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996" w:type="dxa"/>
                  <w:shd w:val="clear" w:color="auto" w:fill="auto"/>
                </w:tcPr>
                <w:p w14:paraId="5662F595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206" w:type="dxa"/>
                  <w:shd w:val="clear" w:color="auto" w:fill="auto"/>
                </w:tcPr>
                <w:p w14:paraId="2D742F92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5D51B0BB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6537" w:type="dxa"/>
                  <w:shd w:val="clear" w:color="auto" w:fill="auto"/>
                </w:tcPr>
                <w:p w14:paraId="21F5D4B8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C870C2" w:rsidRPr="00C870C2" w14:paraId="547092B9" w14:textId="77777777" w:rsidTr="00D3324A">
              <w:trPr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4B1B2A1E" w14:textId="77777777" w:rsidR="00C870C2" w:rsidRPr="00C870C2" w:rsidRDefault="00C870C2" w:rsidP="00C870C2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 w:cs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996" w:type="dxa"/>
                  <w:shd w:val="clear" w:color="auto" w:fill="auto"/>
                </w:tcPr>
                <w:p w14:paraId="6C2BA7EC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206" w:type="dxa"/>
                  <w:shd w:val="clear" w:color="auto" w:fill="auto"/>
                </w:tcPr>
                <w:p w14:paraId="61D5FF92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14:paraId="69BA612C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6537" w:type="dxa"/>
                  <w:shd w:val="clear" w:color="auto" w:fill="auto"/>
                </w:tcPr>
                <w:p w14:paraId="2E2ECCB9" w14:textId="77777777" w:rsidR="00C870C2" w:rsidRPr="00C870C2" w:rsidRDefault="00C870C2" w:rsidP="00C870C2">
                  <w:pPr>
                    <w:tabs>
                      <w:tab w:val="left" w:pos="792"/>
                      <w:tab w:val="left" w:pos="972"/>
                    </w:tabs>
                    <w:spacing w:before="0" w:after="0"/>
                    <w:ind w:left="0" w:firstLine="522"/>
                    <w:jc w:val="both"/>
                    <w:rPr>
                      <w:rFonts w:ascii="GHEA Grapalat" w:eastAsia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7DB9A1EA" w14:textId="77777777" w:rsidR="00C870C2" w:rsidRPr="00C870C2" w:rsidRDefault="00C870C2" w:rsidP="00C870C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Խորհրդատվական ծառայությունները Խորհրդատուն իրականացնելու է 1 փուլով՝</w:t>
            </w:r>
          </w:p>
          <w:p w14:paraId="55857EA0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4.1. Ուսումնասիրել Կատարողի կողմից մշակված տեխնիկական նախագիծը, տալ գնահատական՝  միջազգային առկա լուծումներին և մոտեցումներին համապատասխանելու, ինչպես նաև Պայմանագրի բոլոր պահանջները բավարարելու վերաբերյալ:</w:t>
            </w:r>
          </w:p>
          <w:p w14:paraId="7D579A43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4.2. Իրականացնել Կատարողի կողմից մշակված համակարգի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թեստավորում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, ինչի նպատակով Պատվիրատուի հաստատմանը պետք է ներկայացնի համապատասխան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թեստավորման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պլան:</w:t>
            </w:r>
          </w:p>
          <w:p w14:paraId="24C5E9E3" w14:textId="77777777" w:rsidR="00C870C2" w:rsidRPr="00C870C2" w:rsidRDefault="00C870C2" w:rsidP="00C870C2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"/>
                <w:tab w:val="left" w:pos="972"/>
              </w:tabs>
              <w:spacing w:before="0" w:after="0"/>
              <w:ind w:left="0" w:firstLine="52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Համակարգի 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թեստավորման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համար պետք է առնվազն կիրառվեն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ֆունկցիոնալ և ոչ ֆունկցիոնալ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թեստավորման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տեսակները.</w:t>
            </w:r>
          </w:p>
          <w:tbl>
            <w:tblPr>
              <w:tblW w:w="131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3"/>
              <w:gridCol w:w="3260"/>
              <w:gridCol w:w="9293"/>
            </w:tblGrid>
            <w:tr w:rsidR="00C870C2" w:rsidRPr="00C870C2" w14:paraId="616170B9" w14:textId="77777777" w:rsidTr="003F3BC6">
              <w:trPr>
                <w:trHeight w:val="512"/>
                <w:jc w:val="center"/>
              </w:trPr>
              <w:tc>
                <w:tcPr>
                  <w:tcW w:w="613" w:type="dxa"/>
                  <w:vAlign w:val="center"/>
                </w:tcPr>
                <w:p w14:paraId="40F835FA" w14:textId="77777777" w:rsidR="00C870C2" w:rsidRPr="00C870C2" w:rsidRDefault="00C870C2" w:rsidP="00C870C2">
                  <w:pPr>
                    <w:spacing w:before="0" w:after="0"/>
                    <w:ind w:left="0" w:firstLine="0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Հ/Հ</w:t>
                  </w:r>
                </w:p>
              </w:tc>
              <w:tc>
                <w:tcPr>
                  <w:tcW w:w="3260" w:type="dxa"/>
                  <w:vAlign w:val="center"/>
                </w:tcPr>
                <w:p w14:paraId="0D3B939C" w14:textId="77777777" w:rsidR="00C870C2" w:rsidRPr="00C870C2" w:rsidRDefault="00C870C2" w:rsidP="00C870C2">
                  <w:pPr>
                    <w:spacing w:before="0" w:after="0"/>
                    <w:ind w:left="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Թեստի տեսակ</w:t>
                  </w:r>
                </w:p>
              </w:tc>
              <w:tc>
                <w:tcPr>
                  <w:tcW w:w="9293" w:type="dxa"/>
                  <w:vAlign w:val="center"/>
                </w:tcPr>
                <w:p w14:paraId="419A8EB4" w14:textId="77777777" w:rsidR="00C870C2" w:rsidRPr="00C870C2" w:rsidRDefault="00C870C2" w:rsidP="00C870C2">
                  <w:pPr>
                    <w:spacing w:before="0" w:after="0"/>
                    <w:ind w:left="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Նպատակ</w:t>
                  </w:r>
                </w:p>
              </w:tc>
            </w:tr>
            <w:tr w:rsidR="00C870C2" w:rsidRPr="00C870C2" w14:paraId="45272108" w14:textId="77777777" w:rsidTr="003F3BC6">
              <w:trPr>
                <w:trHeight w:val="665"/>
                <w:jc w:val="center"/>
              </w:trPr>
              <w:tc>
                <w:tcPr>
                  <w:tcW w:w="613" w:type="dxa"/>
                  <w:vAlign w:val="center"/>
                </w:tcPr>
                <w:p w14:paraId="722E412C" w14:textId="77777777" w:rsidR="00C870C2" w:rsidRPr="00C870C2" w:rsidRDefault="00C870C2" w:rsidP="003F3BC6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20BAB61B" w14:textId="2044F125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Կոդի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թեստավորում</w:t>
                  </w:r>
                  <w:proofErr w:type="spellEnd"/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Code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35E8F5B6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Իրականացվում է ծրագրավորման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ինժեներների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կողմից  ծրագրային միավորի իրականացման ժամանակ:</w:t>
                  </w:r>
                </w:p>
              </w:tc>
            </w:tr>
            <w:tr w:rsidR="00C870C2" w:rsidRPr="00C870C2" w14:paraId="02B5A6BB" w14:textId="77777777" w:rsidTr="003F3BC6">
              <w:trPr>
                <w:trHeight w:val="561"/>
                <w:jc w:val="center"/>
              </w:trPr>
              <w:tc>
                <w:tcPr>
                  <w:tcW w:w="613" w:type="dxa"/>
                  <w:vAlign w:val="center"/>
                </w:tcPr>
                <w:p w14:paraId="092B088D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6AEB9896" w14:textId="318E627C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Համակարգի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թեստավորում</w:t>
                  </w:r>
                  <w:proofErr w:type="spellEnd"/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System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6B49A116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Կիրառվում է արդեն պատրաստ համակարգի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ենթագործառույթի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ստուգման համար:</w:t>
                  </w:r>
                </w:p>
              </w:tc>
            </w:tr>
            <w:tr w:rsidR="00C870C2" w:rsidRPr="00C870C2" w14:paraId="7EB58B21" w14:textId="77777777" w:rsidTr="003F3BC6">
              <w:trPr>
                <w:trHeight w:val="393"/>
                <w:jc w:val="center"/>
              </w:trPr>
              <w:tc>
                <w:tcPr>
                  <w:tcW w:w="613" w:type="dxa"/>
                  <w:vAlign w:val="center"/>
                </w:tcPr>
                <w:p w14:paraId="0DCA1067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16459D33" w14:textId="417247E9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Համակարգի միավորի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Unit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07AC7949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Կիրառվում է արդեն պատրաստ մեկ միավորի՝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ենթագործառույթի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ստուգման համար:</w:t>
                  </w:r>
                </w:p>
              </w:tc>
            </w:tr>
            <w:tr w:rsidR="00C870C2" w:rsidRPr="00C870C2" w14:paraId="758DD396" w14:textId="77777777" w:rsidTr="003F3BC6">
              <w:trPr>
                <w:trHeight w:val="645"/>
                <w:jc w:val="center"/>
              </w:trPr>
              <w:tc>
                <w:tcPr>
                  <w:tcW w:w="613" w:type="dxa"/>
                  <w:vAlign w:val="center"/>
                </w:tcPr>
                <w:p w14:paraId="15A7783D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5B4A5AF0" w14:textId="4AE78E8A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Ինտեգրման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Integration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4E8F9682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Ուղղված է բացահայտելու տարբեր ենթահամակարգերի և երրորդ կողմի համակարգերի հետ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ինտեգրման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արդյունքում առաջացած խնդիրները:</w:t>
                  </w:r>
                </w:p>
              </w:tc>
            </w:tr>
            <w:tr w:rsidR="00C870C2" w:rsidRPr="00C870C2" w14:paraId="1D4EFC4B" w14:textId="77777777" w:rsidTr="003F3BC6">
              <w:trPr>
                <w:trHeight w:val="699"/>
                <w:jc w:val="center"/>
              </w:trPr>
              <w:tc>
                <w:tcPr>
                  <w:tcW w:w="613" w:type="dxa"/>
                  <w:vAlign w:val="center"/>
                </w:tcPr>
                <w:p w14:paraId="5CFB23F1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48F3B439" w14:textId="27AF7861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Արտադրողականության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Performance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4855C40D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Բացահայտում է համակարգի արձագանքները ոչ ստանդարտ և չնախատեսված իրավիճակներում, ինչպես նաև երրորդ կողմերի համակարգերի հետ փոխազդեցության արդյունքում առաջացած համակարգի արտադրողականության խնդիրները:</w:t>
                  </w:r>
                </w:p>
              </w:tc>
            </w:tr>
            <w:tr w:rsidR="00C870C2" w:rsidRPr="00C870C2" w14:paraId="570454A6" w14:textId="77777777" w:rsidTr="003F3BC6">
              <w:trPr>
                <w:trHeight w:val="785"/>
                <w:jc w:val="center"/>
              </w:trPr>
              <w:tc>
                <w:tcPr>
                  <w:tcW w:w="613" w:type="dxa"/>
                  <w:vAlign w:val="center"/>
                </w:tcPr>
                <w:p w14:paraId="7A318D5A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1BDAE2DC" w14:textId="3DB0C6DD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Բեռնավորման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Load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373DC03A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Նպատակն է պարզել համակարգի կարողությունները մեծաքանակ օգտագործողների համաժամանակյա աշխատանքների կամ մեծածավալ տվյալների հոսքի ժամանակ:</w:t>
                  </w:r>
                </w:p>
              </w:tc>
            </w:tr>
            <w:tr w:rsidR="00C870C2" w:rsidRPr="00C870C2" w14:paraId="6AA4648C" w14:textId="77777777" w:rsidTr="003F3BC6">
              <w:trPr>
                <w:trHeight w:val="70"/>
                <w:jc w:val="center"/>
              </w:trPr>
              <w:tc>
                <w:tcPr>
                  <w:tcW w:w="613" w:type="dxa"/>
                  <w:vAlign w:val="center"/>
                </w:tcPr>
                <w:p w14:paraId="5C304D81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3A947483" w14:textId="7B6875F4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Համատեղելիության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Compatibility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6C4693E3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Գնահատում է համակարգի համատեղելիությունը համակարգչային տարբեր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միջավայրների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հետ, ներառյալ՝  </w:t>
                  </w: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գործավար համակարգը,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սարքաշարը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, ցանցային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թողունակությունը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, տվյալների շտեմարանները և այլն:</w:t>
                  </w:r>
                </w:p>
              </w:tc>
            </w:tr>
            <w:tr w:rsidR="00C870C2" w:rsidRPr="00C870C2" w14:paraId="53447C2C" w14:textId="77777777" w:rsidTr="003F3BC6">
              <w:trPr>
                <w:trHeight w:val="409"/>
                <w:jc w:val="center"/>
              </w:trPr>
              <w:tc>
                <w:tcPr>
                  <w:tcW w:w="613" w:type="dxa"/>
                  <w:vAlign w:val="center"/>
                </w:tcPr>
                <w:p w14:paraId="3FB23D14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68202AAD" w14:textId="27776BD5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Անվտանգության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Security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</w:p>
              </w:tc>
              <w:tc>
                <w:tcPr>
                  <w:tcW w:w="9293" w:type="dxa"/>
                  <w:vAlign w:val="center"/>
                </w:tcPr>
                <w:p w14:paraId="11EC6234" w14:textId="47775078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Ստուգում է համակարգի անվտանգությունը, այնտեղ փոխանակվող և պահվող տվյալների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ապահովությունն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ու մատչելիության</w:t>
                  </w:r>
                  <w:r w:rsidR="003F3BC6" w:rsidRPr="003F3BC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վավերականությունը:</w:t>
                  </w:r>
                </w:p>
                <w:p w14:paraId="34802D46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 է համակարգից տվյալների արտահոսքի բացառումը։</w:t>
                  </w:r>
                </w:p>
                <w:p w14:paraId="34559BBD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Գնահատվում է համակարգի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խոցելիությունը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։</w:t>
                  </w:r>
                </w:p>
              </w:tc>
            </w:tr>
            <w:tr w:rsidR="00C870C2" w:rsidRPr="00C870C2" w14:paraId="3B0CA4AA" w14:textId="77777777" w:rsidTr="003F3BC6">
              <w:trPr>
                <w:jc w:val="center"/>
              </w:trPr>
              <w:tc>
                <w:tcPr>
                  <w:tcW w:w="613" w:type="dxa"/>
                  <w:vAlign w:val="center"/>
                </w:tcPr>
                <w:p w14:paraId="055C8E03" w14:textId="77777777" w:rsidR="00C870C2" w:rsidRPr="00C870C2" w:rsidRDefault="00C870C2" w:rsidP="00C870C2">
                  <w:pPr>
                    <w:numPr>
                      <w:ilvl w:val="0"/>
                      <w:numId w:val="9"/>
                    </w:num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5F2E76EC" w14:textId="1A7E53D9" w:rsidR="00C870C2" w:rsidRPr="00C870C2" w:rsidRDefault="00C870C2" w:rsidP="003F3BC6">
                  <w:pPr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Օգտագործողի ընդունման թեստ</w:t>
                  </w:r>
                  <w:r w:rsidR="003F3BC6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User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Acceptance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Testing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(UAT)</w:t>
                  </w:r>
                </w:p>
              </w:tc>
              <w:tc>
                <w:tcPr>
                  <w:tcW w:w="9293" w:type="dxa"/>
                  <w:vAlign w:val="center"/>
                </w:tcPr>
                <w:p w14:paraId="14953486" w14:textId="77777777" w:rsidR="00C870C2" w:rsidRPr="00C870C2" w:rsidRDefault="00C870C2" w:rsidP="003F3BC6">
                  <w:pPr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Կատարում է Պատվիրատուն՝ Խորհրդատուի բիզնես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վերլուծաբանների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օգնությամբ` համակարգի ամբողջական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ֆունկցիոնալությունը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վավերացնելու համար: Իրականացվում է ընդհանուր համակարգի կամ դրա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որևէ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ենթահամակարգի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ամբողջական գործարկումից առաջ:</w:t>
                  </w:r>
                </w:p>
              </w:tc>
            </w:tr>
          </w:tbl>
          <w:p w14:paraId="6F15D922" w14:textId="77777777" w:rsidR="00C870C2" w:rsidRPr="00C870C2" w:rsidRDefault="00C870C2" w:rsidP="00C870C2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612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Կատարողի կողմից իրականացված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թեստավորման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արդյունքները պետք է ներկայացվեն առանձին հաշվետվությամբ։</w:t>
            </w:r>
          </w:p>
          <w:p w14:paraId="3437E337" w14:textId="77777777" w:rsidR="00C870C2" w:rsidRPr="00C870C2" w:rsidRDefault="00C870C2" w:rsidP="00C870C2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612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Համակարգի ընդունման նպատակով Խորհրդատուն թեստի արդյունքները դասակարգելու է </w:t>
            </w:r>
            <w:proofErr w:type="spellStart"/>
            <w:r w:rsidRPr="00C870C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սկզբունքով.</w:t>
            </w:r>
          </w:p>
          <w:tbl>
            <w:tblPr>
              <w:tblW w:w="130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9240"/>
            </w:tblGrid>
            <w:tr w:rsidR="00C870C2" w:rsidRPr="00C870C2" w14:paraId="2808FD49" w14:textId="77777777" w:rsidTr="00800C2F">
              <w:trPr>
                <w:jc w:val="center"/>
              </w:trPr>
              <w:tc>
                <w:tcPr>
                  <w:tcW w:w="3820" w:type="dxa"/>
                  <w:vAlign w:val="center"/>
                </w:tcPr>
                <w:p w14:paraId="5F14842E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Արգելափակող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 xml:space="preserve"> (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Blocker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)</w:t>
                  </w:r>
                </w:p>
              </w:tc>
              <w:tc>
                <w:tcPr>
                  <w:tcW w:w="9240" w:type="dxa"/>
                </w:tcPr>
                <w:p w14:paraId="311FB254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Արգելափակող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սխալ, որը բերում է համակարգի աշխատանքի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խափանմանը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, որի արդյունքում համակարգի կամ դրա հիմնական գործառույթների հետ  հետագա աշխատանքն անհնար է դառնում:</w:t>
                  </w:r>
                </w:p>
              </w:tc>
            </w:tr>
            <w:tr w:rsidR="00C870C2" w:rsidRPr="00C870C2" w14:paraId="384948C8" w14:textId="77777777" w:rsidTr="00800C2F">
              <w:trPr>
                <w:jc w:val="center"/>
              </w:trPr>
              <w:tc>
                <w:tcPr>
                  <w:tcW w:w="3820" w:type="dxa"/>
                  <w:vAlign w:val="center"/>
                </w:tcPr>
                <w:p w14:paraId="7BE998E8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Կրիտիկական (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Critical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)</w:t>
                  </w:r>
                </w:p>
              </w:tc>
              <w:tc>
                <w:tcPr>
                  <w:tcW w:w="9240" w:type="dxa"/>
                </w:tcPr>
                <w:p w14:paraId="4B9BEFBF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Կրիտիկական սխալ, որի արդյունքում համակարգի բիզնես տրամաբանությունը սխալ է, առկա է անվտանգության խնդիր, առաջանում է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սերվերի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խափանում և այլն:</w:t>
                  </w:r>
                </w:p>
              </w:tc>
            </w:tr>
            <w:tr w:rsidR="00C870C2" w:rsidRPr="00C870C2" w14:paraId="27409F7C" w14:textId="77777777" w:rsidTr="00800C2F">
              <w:trPr>
                <w:jc w:val="center"/>
              </w:trPr>
              <w:tc>
                <w:tcPr>
                  <w:tcW w:w="3820" w:type="dxa"/>
                  <w:vAlign w:val="center"/>
                </w:tcPr>
                <w:p w14:paraId="6E79E4B0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Հիմնարար/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կարևոր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 xml:space="preserve"> (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Major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)</w:t>
                  </w:r>
                </w:p>
              </w:tc>
              <w:tc>
                <w:tcPr>
                  <w:tcW w:w="9240" w:type="dxa"/>
                </w:tcPr>
                <w:p w14:paraId="55473171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Բիզնես տրամաբանության հիմնական մասը ճիշտ չի աշխատում, թերությունը կրիտիկական չէ, հնարավոր է շարունակել աշխատանքը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թեստավորվող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համակարգի հետ:</w:t>
                  </w:r>
                </w:p>
              </w:tc>
            </w:tr>
            <w:tr w:rsidR="00C870C2" w:rsidRPr="00C870C2" w14:paraId="709E6314" w14:textId="77777777" w:rsidTr="00800C2F">
              <w:trPr>
                <w:jc w:val="center"/>
              </w:trPr>
              <w:tc>
                <w:tcPr>
                  <w:tcW w:w="3820" w:type="dxa"/>
                  <w:vAlign w:val="center"/>
                </w:tcPr>
                <w:p w14:paraId="75330CF1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Աննշան (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Minor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)</w:t>
                  </w:r>
                </w:p>
              </w:tc>
              <w:tc>
                <w:tcPr>
                  <w:tcW w:w="9240" w:type="dxa"/>
                </w:tcPr>
                <w:p w14:paraId="428482E5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Աննշան սխալ, որը չի խախտում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թեստավորվող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հատվածի բիզնես տրամաբանությունը,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օգտվողի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միջերեսի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ակնհայտ խնդիր:</w:t>
                  </w:r>
                </w:p>
              </w:tc>
            </w:tr>
            <w:tr w:rsidR="00C870C2" w:rsidRPr="00C870C2" w14:paraId="180B4F7D" w14:textId="77777777" w:rsidTr="00800C2F">
              <w:trPr>
                <w:trHeight w:val="748"/>
                <w:jc w:val="center"/>
              </w:trPr>
              <w:tc>
                <w:tcPr>
                  <w:tcW w:w="3820" w:type="dxa"/>
                  <w:vAlign w:val="center"/>
                </w:tcPr>
                <w:p w14:paraId="074BF8F2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Չնչին (</w:t>
                  </w:r>
                  <w:proofErr w:type="spellStart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Trivial</w:t>
                  </w:r>
                  <w:proofErr w:type="spellEnd"/>
                  <w:r w:rsidRPr="00C870C2">
                    <w:rPr>
                      <w:rFonts w:ascii="GHEA Grapalat" w:hAnsi="GHEA Grapalat"/>
                      <w:b/>
                      <w:bCs/>
                      <w:color w:val="2A2A2A"/>
                      <w:sz w:val="18"/>
                      <w:szCs w:val="18"/>
                      <w:shd w:val="clear" w:color="auto" w:fill="FAFCFF"/>
                      <w:lang w:val="hy-AM"/>
                    </w:rPr>
                    <w:t>)</w:t>
                  </w:r>
                </w:p>
              </w:tc>
              <w:tc>
                <w:tcPr>
                  <w:tcW w:w="9240" w:type="dxa"/>
                </w:tcPr>
                <w:p w14:paraId="089A0700" w14:textId="77777777" w:rsidR="00C870C2" w:rsidRPr="00C870C2" w:rsidRDefault="00C870C2" w:rsidP="00BE19F7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Չնչին խնդիր, որը չի վերաբերում բիզնես տրամաբանությանը, վատ վերարտադրվող սխալ, որը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օգտվողի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միջերեսից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հիմնականում տեսանելի չէ, երրորդ կողմի գրադարանների,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ծառայություննների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հետ կապված խնդիր, որը չունի </w:t>
                  </w:r>
                  <w:proofErr w:type="spellStart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որևէ</w:t>
                  </w:r>
                  <w:proofErr w:type="spellEnd"/>
                  <w:r w:rsidRPr="00C870C2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ազդեցություն համակարգի ընդհանուր որակի վրա:</w:t>
                  </w:r>
                </w:p>
              </w:tc>
            </w:tr>
          </w:tbl>
          <w:p w14:paraId="04F522A4" w14:textId="77777777" w:rsidR="00C870C2" w:rsidRPr="00C870C2" w:rsidRDefault="00C870C2" w:rsidP="00C870C2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Թեստավորման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արդյունքում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ներքոնշյալ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դեպքերում համակարգը չի ընդունվելու Պատվիրատուի կողմից.</w:t>
            </w:r>
          </w:p>
          <w:p w14:paraId="4B3E91D8" w14:textId="77777777" w:rsidR="00C870C2" w:rsidRPr="00C870C2" w:rsidRDefault="00C870C2" w:rsidP="00C870C2">
            <w:pPr>
              <w:pStyle w:val="ListParagraph"/>
              <w:numPr>
                <w:ilvl w:val="0"/>
                <w:numId w:val="10"/>
              </w:numPr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Արգելափակող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Blocker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)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որևէ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սխալի առկայություն,</w:t>
            </w:r>
          </w:p>
          <w:p w14:paraId="3A6DE203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2) Կրիտիկական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Critical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)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որևէ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սխալի առկայություն,</w:t>
            </w:r>
          </w:p>
          <w:p w14:paraId="24845F10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Pr="00C870C2">
              <w:rPr>
                <w:rFonts w:ascii="GHEA Grapalat" w:hAnsi="GHEA Grapalat" w:cs="Courier New"/>
                <w:sz w:val="18"/>
                <w:szCs w:val="18"/>
                <w:lang w:val="hy-AM"/>
              </w:rPr>
              <w:t xml:space="preserve">) </w:t>
            </w: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Հիմնարար/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կարևոր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Major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 2 և ավելի սխալի առկայություն, կամ 1 հիմնարար/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կարևոր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Major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և 4 և ավելի աննշան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Minor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սխալի առկայություն, կամ 1 հիմնարար/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կարևոր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Major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և 7 և ավելի չնչին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Trivial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սխալի առկայություն,</w:t>
            </w:r>
          </w:p>
          <w:p w14:paraId="053FB7B7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4) Աննշան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Minor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) 5 և ավելի սխալի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առյակություն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կամ 4 աննշան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Minor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և 5 և ավելի չնչին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Trivial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սխալի առկայություն,</w:t>
            </w:r>
          </w:p>
          <w:p w14:paraId="7877A538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5) Չնչին (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Trivial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) 10 և ավելի սխալի առկայություն,</w:t>
            </w:r>
          </w:p>
          <w:p w14:paraId="210A48F6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autoSpaceDE w:val="0"/>
              <w:autoSpaceDN w:val="0"/>
              <w:adjustRightInd w:val="0"/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6) Իրական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միրջավայրում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թարմացման արդյունքում այլ համակարգում կամ նույն համակարգի այլ 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գործառույթում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(կամ) </w:t>
            </w:r>
            <w:proofErr w:type="spellStart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>հատկանիշում</w:t>
            </w:r>
            <w:proofErr w:type="spellEnd"/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սխալի առկայություն:</w:t>
            </w:r>
          </w:p>
          <w:p w14:paraId="229DC356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4.7. Խորհրդատուն պետք է ներկայացնի մասնագիտական կարծիք, որ Համակարգի տեխնիկական բնութագրերն ու գործառույթները համապատասխանում են Համակարգի մշակման շրջանակներում պատրաստված և հաստատված փաստաթղթերի պահանջներին։</w:t>
            </w:r>
          </w:p>
          <w:p w14:paraId="195B760A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4.8. Խորհրդատուն պետք է մշակի և Պատվիրատուին ներկայացնի Համաձայնագրի նախագիծ, որի ստորագրումով Կատարողի կողմից կիրականացվի Համակարգի և դրա բոլոր բաղկացուցիչ տարրերի նկատմամբ մտավոր սեփականության բոլոր իրավունքների (այդ թվում՝ հեղինակային և արտոնագրային իրավունքի օբյեկտների նկատմամբ գույքային բացառիկ իրավունքների) զիջում Պատվիրատուին՝ առանց լրացուցիչ փոխհատուցման։ </w:t>
            </w:r>
          </w:p>
          <w:p w14:paraId="64CC0F29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4.9. Խորհրդատուն պետք է Պատվիրատուի հաստատմանը ներկայացնի աշխատանքային պլան, որով կառաջադրվի Որակի պրոֆիլը, ինչն էլ կօգտագործվի «Համակարգի սկզբնաղբյուր կոդերի վերլուծություն» իրականացնելիս: Խորհրդատուն այդ պլանում պետք է նաև նշի, թե որ ծրագրային ապահովման (ճարտարապետական) որակի հատկանիշներն է նա օգտագործելու Համակարգի ծրագրային կոդերի որակը նկարագրելու համար:</w:t>
            </w:r>
          </w:p>
          <w:p w14:paraId="036E7436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4.10. Խորհրդատուն պետք է իրականացնի Համակարգի ամբողջական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սկզբնաղբյուրի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կոդի (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source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codes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) ուսումնասիրություն՝ համաձայն հաստատված աշխատանքային պլանի և ներկայացնի հաշվետվություն: Հաշվետվությունը պետք է առնվազն պարունակի տեղեկություն այն մասին, թե արդյոք կիրառվել են բաց կոդեր և արդյոք համակարգի հետագա սպասարկումը կարող է առանց խոչընդոտի հանձնվել այլ կազմակերպության:</w:t>
            </w:r>
          </w:p>
          <w:p w14:paraId="3F6CE6B4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4.11. Խորհրդատուն կմշակի և Պատվիրատուին կներկայացնի պայմանագրի նախագիծ, որի ստորագրումով Կատարողը կիրականացնի համակարգի երաշխիքային սպասարկումը:</w:t>
            </w:r>
          </w:p>
          <w:p w14:paraId="2AFAAAF7" w14:textId="77777777" w:rsidR="00C870C2" w:rsidRPr="00C870C2" w:rsidRDefault="00C870C2" w:rsidP="00C870C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b/>
                <w:bCs/>
                <w:color w:val="000000"/>
                <w:sz w:val="18"/>
                <w:szCs w:val="18"/>
                <w:u w:val="single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b/>
                <w:bCs/>
                <w:color w:val="000000"/>
                <w:sz w:val="18"/>
                <w:szCs w:val="18"/>
                <w:u w:val="single"/>
                <w:lang w:val="hy-AM"/>
              </w:rPr>
              <w:t>Իրականացման և վճարման փուլեր</w:t>
            </w:r>
          </w:p>
          <w:p w14:paraId="6D7D905B" w14:textId="77777777" w:rsidR="00C870C2" w:rsidRPr="00C870C2" w:rsidRDefault="00C870C2" w:rsidP="00C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/>
                <w:sz w:val="18"/>
                <w:szCs w:val="18"/>
                <w:lang w:val="hy-AM"/>
              </w:rPr>
              <w:t xml:space="preserve">Խորհրդատվական ծառայությունների մատուցման արդյունքում վճարումներն իրականացվելու են </w:t>
            </w:r>
            <w:proofErr w:type="spellStart"/>
            <w:r w:rsidRPr="00C870C2">
              <w:rPr>
                <w:rFonts w:ascii="GHEA Grapalat" w:eastAsia="GHEA Grapalat" w:hAnsi="GHEA Grapalat"/>
                <w:sz w:val="18"/>
                <w:szCs w:val="18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/>
                <w:sz w:val="18"/>
                <w:szCs w:val="18"/>
                <w:lang w:val="hy-AM"/>
              </w:rPr>
              <w:t xml:space="preserve"> սկզբունքով.</w:t>
            </w:r>
          </w:p>
          <w:p w14:paraId="0517EFF8" w14:textId="77777777" w:rsidR="00C870C2" w:rsidRPr="00C870C2" w:rsidRDefault="00C870C2" w:rsidP="00C870C2">
            <w:pPr>
              <w:tabs>
                <w:tab w:val="left" w:pos="990"/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Մատուցված ծառայության դիմաց վճարումն իրականացվելու է հանձնման-ընդունման արձանագրության հիման վրա: Ընդ որում, ծառայության դիմաց վճարումը կիրականացվի այդ նպատակով համապատասխան ֆինանսական միջոցներ նախատեսվելու և դրա հիման վրա կողմերի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միջև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կնքվելիք վճարման ժամանակացույցով նախատեսված ժամկետում:</w:t>
            </w:r>
          </w:p>
          <w:p w14:paraId="025DA8C8" w14:textId="77777777" w:rsidR="00C870C2" w:rsidRPr="00C870C2" w:rsidRDefault="00C870C2" w:rsidP="00C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center"/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>Ոչ գնային պայմանների գնահատման չափանիշները`</w:t>
            </w:r>
            <w:r w:rsidRPr="00C870C2">
              <w:rPr>
                <w:rFonts w:ascii="GHEA Grapalat" w:hAnsi="GHEA Grapalat"/>
                <w:color w:val="0D0D0D"/>
                <w:sz w:val="18"/>
                <w:szCs w:val="18"/>
                <w:u w:val="single"/>
                <w:lang w:val="hy-AM"/>
              </w:rPr>
              <w:t xml:space="preserve"> </w:t>
            </w:r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 xml:space="preserve">գնահատվում է </w:t>
            </w:r>
            <w:proofErr w:type="spellStart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 xml:space="preserve"> կարգով.</w:t>
            </w:r>
          </w:p>
          <w:p w14:paraId="5E20B029" w14:textId="77777777" w:rsidR="00C870C2" w:rsidRPr="00C870C2" w:rsidRDefault="00C870C2" w:rsidP="00C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center"/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</w:pPr>
            <w:proofErr w:type="spellStart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>Խորհրդատուին</w:t>
            </w:r>
            <w:proofErr w:type="spellEnd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 xml:space="preserve"> ներկայացվող պահանջները.</w:t>
            </w:r>
            <w:r w:rsidRPr="00C870C2">
              <w:rPr>
                <w:rFonts w:ascii="GHEA Grapalat" w:hAnsi="GHEA Grapalat"/>
                <w:color w:val="0D0D0D"/>
                <w:sz w:val="18"/>
                <w:szCs w:val="18"/>
                <w:lang w:val="hy-AM"/>
              </w:rPr>
              <w:t xml:space="preserve"> </w:t>
            </w:r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>/Մասնագիտական փորձառություն/</w:t>
            </w:r>
          </w:p>
          <w:p w14:paraId="2712F4E2" w14:textId="77777777" w:rsidR="00C870C2" w:rsidRPr="00C870C2" w:rsidRDefault="00C870C2" w:rsidP="00C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Խորհրդատուի </w:t>
            </w:r>
            <w:proofErr w:type="spellStart"/>
            <w:r w:rsidRPr="00C870C2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որակավորումները</w:t>
            </w:r>
            <w:proofErr w:type="spellEnd"/>
            <w:r w:rsidRPr="00C870C2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 և փորձը պետք է համապատասխանեն </w:t>
            </w:r>
            <w:proofErr w:type="spellStart"/>
            <w:r w:rsidRPr="00C870C2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ստորև</w:t>
            </w:r>
            <w:proofErr w:type="spellEnd"/>
            <w:r w:rsidRPr="00C870C2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 ներկայացված նվազագույն պահանջներին.</w:t>
            </w:r>
          </w:p>
          <w:p w14:paraId="1D49405F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ՏՏ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աուդիտներ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իրականացնելու 5 տարվա փորձ, ներառյալ՝</w:t>
            </w:r>
          </w:p>
          <w:p w14:paraId="1E372DD1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Ծրագրային ապահովման և ենթակառուցվածքի որակի և տեխնիկական աուդիտ, </w:t>
            </w:r>
          </w:p>
          <w:p w14:paraId="45E57255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ISO9001 և ISO27001 սերտիֆիկացում,</w:t>
            </w:r>
          </w:p>
          <w:p w14:paraId="0E6004B1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բազմաշահառու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տեղեկատվական համակարգի և ծրագրային ապահովման ճարտարապետության վերլուծություն,</w:t>
            </w:r>
          </w:p>
          <w:p w14:paraId="14A0BDAA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Հավելվածի կատարողականի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թեստավորում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14:paraId="7598E18B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Խորհրդատուն չպետք է ունենա շահերի բախում,</w:t>
            </w:r>
          </w:p>
          <w:p w14:paraId="051199F2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պետք է ունենա՝</w:t>
            </w:r>
          </w:p>
          <w:p w14:paraId="0F4B838D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համալիր տեղեկատվական համակարգերի ՏՏ որակի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աուդիտներում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նախագծերի հուսալի կառավարման փորձ (ՏՏ ոլորտում նախագծման և ռեսուրսների պլանավորման համապատասխան փորձ),</w:t>
            </w:r>
          </w:p>
          <w:p w14:paraId="5F027942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Ներթափանցման աուդիտի հավաստագրում,</w:t>
            </w:r>
          </w:p>
          <w:p w14:paraId="7CF2CC4A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Ծրագրային ապահովման փորձարկման փորձ ինչպես «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սև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արկղում» (անտեսանելի կոդը) և «սպիտակ արկղում» (հասանելի կոդ) միջավայրերում,</w:t>
            </w:r>
          </w:p>
          <w:p w14:paraId="099421A1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Հաշվետվությունների և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փաստաթղթավորման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գերազանց հմտություններ, նախընտրելի է ծրագրային ապահովման աուդիտի համատեքստում,</w:t>
            </w:r>
          </w:p>
          <w:p w14:paraId="12DAE2F3" w14:textId="77777777" w:rsidR="00C870C2" w:rsidRPr="00C870C2" w:rsidRDefault="00C870C2" w:rsidP="00C870C2">
            <w:pPr>
              <w:pStyle w:val="ListParagraph"/>
              <w:numPr>
                <w:ilvl w:val="2"/>
                <w:numId w:val="12"/>
              </w:numP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ՏՏ ճարտարապետության տարրերի համապարփակ իմացություն՝ կապված իրականացման, անվտանգության, թույլտվության և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իսկորոշման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performance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security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authorization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and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authentication</w:t>
            </w:r>
            <w:proofErr w:type="spellEnd"/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) հետ:</w:t>
            </w:r>
          </w:p>
          <w:p w14:paraId="7241465D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Պահանջվող արդյունքներին հասնելու համար Խորհրդատուն պետք է ունենա մասնագետների թիմ: </w:t>
            </w:r>
          </w:p>
          <w:p w14:paraId="4D353F91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Բոլոր փորձագետները պետք է լինեն անկախ և զերծ լինեն շահերի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բախումից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իրենց կողմից ստանձնած պարտականությունների ընթացքում:</w:t>
            </w:r>
          </w:p>
          <w:p w14:paraId="0ED4792B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Ներգրավվող փորձագետների բնութագրերը պետք է ներկայացվեն Պատվիրատու 1-ին` հիմնավորելով յուրաքանչյուր մասնագետի ընտրությունը: </w:t>
            </w:r>
          </w:p>
          <w:p w14:paraId="083911C9" w14:textId="77777777" w:rsidR="00C870C2" w:rsidRPr="00C870C2" w:rsidRDefault="00C870C2" w:rsidP="00C870C2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Խորհրդատուի աշխատակազմը պետք է ներառի առնվազն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մասնագետները, որոնք պետք է ունենան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ստորև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ներկայացված </w:t>
            </w:r>
            <w:proofErr w:type="spellStart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որակավորումները</w:t>
            </w:r>
            <w:proofErr w:type="spellEnd"/>
            <w:r w:rsidRPr="00C870C2"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.</w:t>
            </w:r>
          </w:p>
          <w:p w14:paraId="106BF11D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Ծրագրի</w:t>
            </w:r>
            <w:r w:rsidRPr="00C870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ղեկավար</w:t>
            </w:r>
          </w:p>
          <w:p w14:paraId="180D95A4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1 անձ՝ ՏՏ ոլորտում</w:t>
            </w: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 5 տարվա աշխատանքային փորձով, </w:t>
            </w:r>
          </w:p>
          <w:p w14:paraId="5C327F94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Համակարգի ճարտարապետ</w:t>
            </w:r>
          </w:p>
          <w:p w14:paraId="18554A27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1 անձ՝ ՏՏ ոլորտում</w:t>
            </w:r>
            <w:r w:rsidRPr="00C870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առնվազն 5 տարվա աշխատանքային փորձով,</w:t>
            </w:r>
          </w:p>
          <w:p w14:paraId="1B0A7789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Բիզնես վերլուծաբան</w:t>
            </w:r>
          </w:p>
          <w:p w14:paraId="7B98938A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Առնվազն 1 անձ՝ պետական կամ հանրային կառավարման ոլորտում առնվազն 5 տարվա աշխատանքային փորձով, </w:t>
            </w:r>
          </w:p>
          <w:p w14:paraId="27610DFE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proofErr w:type="spellStart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Թեստավորող</w:t>
            </w:r>
            <w:proofErr w:type="spellEnd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(</w:t>
            </w:r>
            <w:proofErr w:type="spellStart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Quality</w:t>
            </w:r>
            <w:proofErr w:type="spellEnd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assurance</w:t>
            </w:r>
            <w:proofErr w:type="spellEnd"/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)</w:t>
            </w:r>
          </w:p>
          <w:p w14:paraId="5162A2AA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Առնվազն 2 անձ՝ առնվազն 2 տարվա աշխատանքային փորձով,</w:t>
            </w:r>
          </w:p>
          <w:p w14:paraId="500721FB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Իրավաբան</w:t>
            </w:r>
          </w:p>
          <w:p w14:paraId="3CAF8C4D" w14:textId="77777777" w:rsidR="00C870C2" w:rsidRPr="00C870C2" w:rsidRDefault="00C870C2" w:rsidP="00C870C2">
            <w:pPr>
              <w:pStyle w:val="ListParagraph"/>
              <w:tabs>
                <w:tab w:val="left" w:pos="1242"/>
                <w:tab w:val="left" w:pos="1956"/>
              </w:tabs>
              <w:spacing w:before="0" w:after="0"/>
              <w:ind w:left="0" w:firstLine="612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Առնվազն 1 անձ՝ քաղաքացիական իրավունքի ոլորտում առնվազն 3 տարվա աշխատանքային փորձով:</w:t>
            </w:r>
          </w:p>
          <w:p w14:paraId="35A631F3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spacing w:before="0" w:after="0" w:line="276" w:lineRule="auto"/>
              <w:ind w:left="0" w:firstLine="612"/>
              <w:jc w:val="both"/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</w:pPr>
          </w:p>
          <w:p w14:paraId="43D71829" w14:textId="77777777" w:rsidR="00C870C2" w:rsidRPr="00C870C2" w:rsidRDefault="00C870C2" w:rsidP="00C8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2"/>
              </w:tabs>
              <w:spacing w:before="0" w:after="0"/>
              <w:ind w:left="0" w:firstLine="612"/>
              <w:jc w:val="both"/>
              <w:rPr>
                <w:rFonts w:ascii="GHEA Grapalat" w:eastAsia="GHEA Grapalat" w:hAnsi="GHEA Grapalat" w:cs="GHEA Grapalat"/>
                <w:color w:val="0D0D0D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b/>
                <w:i/>
                <w:color w:val="0D0D0D"/>
                <w:sz w:val="18"/>
                <w:szCs w:val="18"/>
                <w:u w:val="single"/>
                <w:lang w:val="hy-AM"/>
              </w:rPr>
              <w:t>Անհրաժեշտ է ներկայացնել հրավերով սահմանված մասնագիտական փորձառությունը հավաստող փաստաթղթեր՝ պայմանագրեր, աշխատանքային գրքույկ,  գործատուի կողմից հաստատված տեղեկանք և հաստատող այլ փաստաթղթեր</w:t>
            </w:r>
          </w:p>
          <w:p w14:paraId="2DC6B16A" w14:textId="77777777" w:rsidR="00C870C2" w:rsidRPr="00C870C2" w:rsidRDefault="00C870C2" w:rsidP="00C870C2">
            <w:pPr>
              <w:tabs>
                <w:tab w:val="left" w:pos="1242"/>
              </w:tabs>
              <w:spacing w:before="0" w:after="0"/>
              <w:ind w:left="0" w:firstLine="612"/>
              <w:jc w:val="center"/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</w:pPr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 xml:space="preserve">Մասնակցի հայտի գնահատումը իրականացվելու է </w:t>
            </w:r>
            <w:proofErr w:type="spellStart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>հետևյալ</w:t>
            </w:r>
            <w:proofErr w:type="spellEnd"/>
            <w:r w:rsidRPr="00C870C2">
              <w:rPr>
                <w:rFonts w:ascii="GHEA Grapalat" w:eastAsia="GHEA Grapalat" w:hAnsi="GHEA Grapalat" w:cs="GHEA Grapalat"/>
                <w:b/>
                <w:color w:val="0D0D0D"/>
                <w:sz w:val="18"/>
                <w:szCs w:val="18"/>
                <w:u w:val="single"/>
                <w:lang w:val="hy-AM"/>
              </w:rPr>
              <w:t xml:space="preserve"> չափանիշներով և կարգով.</w:t>
            </w:r>
          </w:p>
          <w:p w14:paraId="3A910527" w14:textId="77777777" w:rsidR="00C870C2" w:rsidRPr="00C870C2" w:rsidRDefault="00C870C2" w:rsidP="00C870C2">
            <w:pPr>
              <w:pStyle w:val="ListParagraph"/>
              <w:tabs>
                <w:tab w:val="left" w:pos="1242"/>
              </w:tabs>
              <w:spacing w:before="0" w:after="0" w:line="276" w:lineRule="auto"/>
              <w:ind w:left="0" w:firstLine="61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C2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է որոշվում ներկայացված հայտերից` հրավերով նախատեսված` ոչ գնային նվազագույն պայմաններին համապատասխանող գնահատված և ամենացածր գին առաջարկած մասնակիցը:</w:t>
            </w:r>
          </w:p>
        </w:tc>
      </w:tr>
    </w:tbl>
    <w:p w14:paraId="2C47E154" w14:textId="77777777" w:rsidR="00800C2F" w:rsidRDefault="00800C2F" w:rsidP="00800C2F">
      <w:pPr>
        <w:spacing w:before="0" w:after="0"/>
        <w:ind w:left="0" w:firstLine="0"/>
        <w:rPr>
          <w:rFonts w:ascii="GHEA Grapalat" w:hAnsi="GHEA Grapalat"/>
          <w:sz w:val="20"/>
          <w:lang w:val="hy-AM"/>
        </w:rPr>
        <w:sectPr w:rsidR="00800C2F" w:rsidSect="00800C2F">
          <w:pgSz w:w="16840" w:h="11907" w:orient="landscape" w:code="9"/>
          <w:pgMar w:top="568" w:right="567" w:bottom="426" w:left="284" w:header="709" w:footer="709" w:gutter="0"/>
          <w:cols w:space="708"/>
          <w:docGrid w:linePitch="360"/>
        </w:sectPr>
      </w:pPr>
    </w:p>
    <w:p w14:paraId="6B86EC12" w14:textId="6A4D2316" w:rsidR="00A456AF" w:rsidRPr="00F214D9" w:rsidRDefault="00F214D9" w:rsidP="00800C2F">
      <w:pPr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lastRenderedPageBreak/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</w:p>
    <w:sectPr w:rsidR="00A456AF" w:rsidRPr="00F214D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04AF" w14:textId="77777777" w:rsidR="00BB0BCD" w:rsidRDefault="00BB0BCD" w:rsidP="0022631D">
      <w:pPr>
        <w:spacing w:before="0" w:after="0"/>
      </w:pPr>
      <w:r>
        <w:separator/>
      </w:r>
    </w:p>
  </w:endnote>
  <w:endnote w:type="continuationSeparator" w:id="0">
    <w:p w14:paraId="3A2A76B4" w14:textId="77777777" w:rsidR="00BB0BCD" w:rsidRDefault="00BB0B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CB34" w14:textId="77777777" w:rsidR="00BB0BCD" w:rsidRDefault="00BB0BCD" w:rsidP="0022631D">
      <w:pPr>
        <w:spacing w:before="0" w:after="0"/>
      </w:pPr>
      <w:r>
        <w:separator/>
      </w:r>
    </w:p>
  </w:footnote>
  <w:footnote w:type="continuationSeparator" w:id="0">
    <w:p w14:paraId="576210FD" w14:textId="77777777" w:rsidR="00BB0BCD" w:rsidRDefault="00BB0BC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F3569FA"/>
    <w:multiLevelType w:val="multilevel"/>
    <w:tmpl w:val="C05281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6" w15:restartNumberingAfterBreak="0">
    <w:nsid w:val="4FAF2DE7"/>
    <w:multiLevelType w:val="hybridMultilevel"/>
    <w:tmpl w:val="26EC7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E6E58"/>
    <w:multiLevelType w:val="hybridMultilevel"/>
    <w:tmpl w:val="1068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D3922"/>
    <w:multiLevelType w:val="hybridMultilevel"/>
    <w:tmpl w:val="E66C64BC"/>
    <w:lvl w:ilvl="0" w:tplc="215ADB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807E9B"/>
    <w:multiLevelType w:val="multilevel"/>
    <w:tmpl w:val="914CAB2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1" w15:restartNumberingAfterBreak="0">
    <w:nsid w:val="7E8E59BA"/>
    <w:multiLevelType w:val="hybridMultilevel"/>
    <w:tmpl w:val="0D96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B2597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3F3BC6"/>
    <w:rsid w:val="00433E3C"/>
    <w:rsid w:val="00472069"/>
    <w:rsid w:val="00474C2F"/>
    <w:rsid w:val="004764CD"/>
    <w:rsid w:val="00481102"/>
    <w:rsid w:val="004875E0"/>
    <w:rsid w:val="00487C03"/>
    <w:rsid w:val="004D078F"/>
    <w:rsid w:val="004E1AB7"/>
    <w:rsid w:val="004E376E"/>
    <w:rsid w:val="00503BCC"/>
    <w:rsid w:val="00546023"/>
    <w:rsid w:val="005737F9"/>
    <w:rsid w:val="005B3EFD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00C2F"/>
    <w:rsid w:val="0081420B"/>
    <w:rsid w:val="00817195"/>
    <w:rsid w:val="008C4E62"/>
    <w:rsid w:val="008E493A"/>
    <w:rsid w:val="00930C76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B0BCD"/>
    <w:rsid w:val="00BD3D4E"/>
    <w:rsid w:val="00BE19F7"/>
    <w:rsid w:val="00BF01AB"/>
    <w:rsid w:val="00BF1465"/>
    <w:rsid w:val="00BF4745"/>
    <w:rsid w:val="00C63BE2"/>
    <w:rsid w:val="00C84DF7"/>
    <w:rsid w:val="00C870C2"/>
    <w:rsid w:val="00C96337"/>
    <w:rsid w:val="00C96BED"/>
    <w:rsid w:val="00CB44D2"/>
    <w:rsid w:val="00CC1F23"/>
    <w:rsid w:val="00CC4F37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,Akapit z listą BS,List Paragraph 1,List_Paragraph,Multilevel para_II,List Paragraph (numbered (a)),OBC Bullet,List Paragraph11,Normal numbered,Абзац списка1,Абзац списка,Paragraphe de liste PBLH,Bullets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,Akapit z listą BS Char,List Paragraph 1 Char,List_Paragraph Char,Multilevel para_II Char,List Paragraph (numbered (a)) Char,OBC Bullet Char,List Paragraph11 Char,Normal numbered Char,Bullets Char"/>
    <w:link w:val="ListParagraph"/>
    <w:uiPriority w:val="34"/>
    <w:qFormat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30</cp:revision>
  <cp:lastPrinted>2021-07-19T08:31:00Z</cp:lastPrinted>
  <dcterms:created xsi:type="dcterms:W3CDTF">2021-06-28T12:08:00Z</dcterms:created>
  <dcterms:modified xsi:type="dcterms:W3CDTF">2023-11-21T07:34:00Z</dcterms:modified>
</cp:coreProperties>
</file>