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CA" w:rsidRPr="00C03ACA" w:rsidRDefault="00C03ACA" w:rsidP="00C03AC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3"/>
          <w:szCs w:val="23"/>
        </w:rPr>
      </w:pPr>
      <w:proofErr w:type="spellStart"/>
      <w:r w:rsidRPr="00C03ACA">
        <w:rPr>
          <w:rFonts w:ascii="GHEA Grapalat" w:eastAsia="Times New Roman" w:hAnsi="GHEA Grapalat" w:cs="Sylfaen"/>
          <w:color w:val="262626"/>
          <w:sz w:val="23"/>
          <w:szCs w:val="23"/>
        </w:rPr>
        <w:t>Հարցում</w:t>
      </w:r>
      <w:proofErr w:type="spellEnd"/>
    </w:p>
    <w:p w:rsidR="00C03ACA" w:rsidRPr="00C03ACA" w:rsidRDefault="00C03ACA" w:rsidP="00C03AC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3"/>
          <w:szCs w:val="23"/>
        </w:rPr>
      </w:pP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Հարգելի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գործընկեր</w:t>
      </w:r>
      <w:proofErr w:type="spellEnd"/>
      <w:proofErr w:type="gramStart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>,</w:t>
      </w:r>
      <w:proofErr w:type="gramEnd"/>
      <w:r w:rsidRPr="00C03ACA">
        <w:rPr>
          <w:rFonts w:ascii="GHEA Grapalat" w:eastAsia="Times New Roman" w:hAnsi="GHEA Grapalat" w:cs="Arial"/>
          <w:color w:val="2C2D2E"/>
          <w:sz w:val="23"/>
          <w:szCs w:val="23"/>
        </w:rPr>
        <w:br/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Խնդրում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ենք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տրամադրել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պարզաբանում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2-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րդ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չափաբաժնի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տեխնիկական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բնութագրերի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վերաբերյալ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Բնութագրերը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շարադրված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անհասկանալի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սխալ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ձևով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որոշ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դեպքերում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նունիսկ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անտրամաբանական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Ի՞նչ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նշանակում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"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ռենտգեն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սկոպիայի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 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ռեժիմ</w:t>
      </w:r>
      <w:proofErr w:type="spellEnd"/>
      <w:proofErr w:type="gram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 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նկարահանման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 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+ </w:t>
      </w:r>
      <w:r w:rsidRPr="00C03ACA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 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տպիչ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",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խնդրում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ենք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պարզաբանել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շարադրել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հստակ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՝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հետագա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թյուրիմացություններից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խուսափելու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համար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Ինչո՞վ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պայմանավորված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տելեսկոպիկ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սեղանի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լայնական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շարժի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առնվազն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+/- 16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սմ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բարձրության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առնվազն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60 - 120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սմ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թեքման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առնվազն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+90/-90°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քանի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որ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դրանք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բավականին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խիստ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պահանջներ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նույնիսկ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ոչ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օգտագործվող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մասնավորապես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թեքման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-90°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պահանջը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Ռենտգեն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խողովակի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շտատիվի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շարժունակության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երկայնական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տիրույթը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առնվազն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160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սմ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նույնպես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խիստ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ոչ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օգտագործվող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Խնդրում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ենք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նաև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պարզաբանել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թե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ինչ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նշանակում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"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հորիզոնական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ստոյկա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"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"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թվային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կարգավորող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սկանավորման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դաշտ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"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արտահայտությունները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Ի՞նչ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ստոյկայի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մասին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խոսքը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եթե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պահանջվում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տելեսկոպիկ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սեղանով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ռենտգեն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ստացիոնար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սարք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։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Մնացած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բնութագրերը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նույնպես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խմբագրման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ենթակա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,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խնդրում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ենք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ցուցաբերել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մասնագիտական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մոտեցում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և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ներկայացնել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պատշաճ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տեխնիկական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բնութագիր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: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Ցանկալի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է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նույնիսկ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բնութագրերը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լինեն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անգլերեն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լեզվով</w:t>
      </w:r>
      <w:proofErr w:type="spellEnd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՝</w:t>
      </w:r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թյուրըմբռնումից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խուսափելու</w:t>
      </w:r>
      <w:proofErr w:type="spellEnd"/>
      <w:r w:rsidRPr="00C03ACA">
        <w:rPr>
          <w:rFonts w:ascii="GHEA Grapalat" w:eastAsia="Times New Roman" w:hAnsi="GHEA Grapalat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նպատակով</w:t>
      </w:r>
      <w:proofErr w:type="spellEnd"/>
      <w:r w:rsidRPr="00C03ACA">
        <w:rPr>
          <w:rFonts w:ascii="GHEA Grapalat" w:eastAsia="Times New Roman" w:hAnsi="GHEA Grapalat" w:cs="Tahoma"/>
          <w:color w:val="2C2D2E"/>
          <w:sz w:val="23"/>
          <w:szCs w:val="23"/>
          <w:shd w:val="clear" w:color="auto" w:fill="FFFFFF"/>
        </w:rPr>
        <w:t>։</w:t>
      </w:r>
    </w:p>
    <w:p w:rsidR="00C03ACA" w:rsidRPr="00C03ACA" w:rsidRDefault="00C03ACA" w:rsidP="00C03AC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3"/>
          <w:szCs w:val="23"/>
        </w:rPr>
      </w:pPr>
      <w:proofErr w:type="spellStart"/>
      <w:r w:rsidRPr="00C03ACA">
        <w:rPr>
          <w:rFonts w:ascii="GHEA Grapalat" w:eastAsia="Times New Roman" w:hAnsi="GHEA Grapalat" w:cs="Sylfaen"/>
          <w:color w:val="2C2D2E"/>
          <w:sz w:val="23"/>
          <w:szCs w:val="23"/>
          <w:shd w:val="clear" w:color="auto" w:fill="FFFFFF"/>
        </w:rPr>
        <w:t>Պարզաբանում</w:t>
      </w:r>
      <w:proofErr w:type="spellEnd"/>
    </w:p>
    <w:p w:rsidR="00C03ACA" w:rsidRPr="00C03ACA" w:rsidRDefault="00C03ACA" w:rsidP="00C03ACA">
      <w:pPr>
        <w:shd w:val="clear" w:color="auto" w:fill="FFFFFF"/>
        <w:spacing w:after="195" w:line="240" w:lineRule="auto"/>
        <w:rPr>
          <w:rFonts w:ascii="GHEA Grapalat" w:eastAsia="Times New Roman" w:hAnsi="GHEA Grapalat" w:cs="Arial"/>
          <w:color w:val="262626"/>
          <w:sz w:val="23"/>
          <w:szCs w:val="23"/>
        </w:rPr>
      </w:pPr>
      <w:proofErr w:type="spellStart"/>
      <w:r w:rsidRPr="00C03ACA">
        <w:rPr>
          <w:rFonts w:ascii="GHEA Grapalat" w:eastAsia="Times New Roman" w:hAnsi="GHEA Grapalat" w:cs="Sylfaen"/>
          <w:color w:val="262626"/>
        </w:rPr>
        <w:t>Հարգելի</w:t>
      </w:r>
      <w:proofErr w:type="spellEnd"/>
      <w:r w:rsidRPr="00C03ACA">
        <w:rPr>
          <w:rFonts w:ascii="GHEA Grapalat" w:eastAsia="Times New Roman" w:hAnsi="GHEA Grapalat" w:cs="Calibri"/>
          <w:color w:val="262626"/>
        </w:rPr>
        <w:t xml:space="preserve"> </w:t>
      </w:r>
      <w:proofErr w:type="spellStart"/>
      <w:r w:rsidRPr="00C03ACA">
        <w:rPr>
          <w:rFonts w:ascii="GHEA Grapalat" w:eastAsia="Times New Roman" w:hAnsi="GHEA Grapalat" w:cs="Sylfaen"/>
          <w:color w:val="262626"/>
        </w:rPr>
        <w:t>գործընկեր</w:t>
      </w:r>
      <w:proofErr w:type="spellEnd"/>
    </w:p>
    <w:p w:rsidR="00C03ACA" w:rsidRPr="00C03ACA" w:rsidRDefault="00C03ACA" w:rsidP="00C03ACA">
      <w:pPr>
        <w:shd w:val="clear" w:color="auto" w:fill="FFFFFF"/>
        <w:spacing w:after="195" w:line="240" w:lineRule="auto"/>
        <w:rPr>
          <w:rFonts w:ascii="GHEA Grapalat" w:eastAsia="Times New Roman" w:hAnsi="GHEA Grapalat" w:cs="Arial"/>
          <w:color w:val="262626"/>
          <w:sz w:val="23"/>
          <w:szCs w:val="23"/>
        </w:rPr>
      </w:pPr>
      <w:r w:rsidRPr="00C03ACA">
        <w:rPr>
          <w:rFonts w:ascii="Courier New" w:eastAsia="Times New Roman" w:hAnsi="Courier New" w:cs="Courier New"/>
          <w:color w:val="262626"/>
          <w:sz w:val="24"/>
          <w:szCs w:val="24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 xml:space="preserve"> 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 xml:space="preserve"> 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 xml:space="preserve">Ի </w:t>
      </w:r>
      <w:proofErr w:type="spellStart"/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>պատասխան</w:t>
      </w:r>
      <w:proofErr w:type="spellEnd"/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 xml:space="preserve"> </w:t>
      </w:r>
      <w:proofErr w:type="spellStart"/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>Ձեր</w:t>
      </w:r>
      <w:proofErr w:type="spellEnd"/>
      <w:r w:rsidRPr="00C03ACA">
        <w:rPr>
          <w:rFonts w:ascii="GHEA Grapalat" w:eastAsia="Times New Roman" w:hAnsi="GHEA Grapalat" w:cs="GHEA Grapalat"/>
          <w:color w:val="262626"/>
          <w:sz w:val="24"/>
          <w:szCs w:val="24"/>
        </w:rPr>
        <w:t xml:space="preserve"> 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</w:rPr>
        <w:t> 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ՀՀ Գեղարքունիքի մարզպետարանի կողմից հայտարարված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ՀՀԳՄՀԲՄԱՊՁԲ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-02/22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>մրցույթի հար</w:t>
      </w:r>
      <w:r w:rsidRPr="00C03ACA">
        <w:rPr>
          <w:rFonts w:ascii="GHEA Grapalat" w:eastAsia="Times New Roman" w:hAnsi="GHEA Grapalat" w:cs="Calibri"/>
          <w:i/>
          <w:iCs/>
          <w:color w:val="262626"/>
          <w:sz w:val="24"/>
          <w:szCs w:val="24"/>
          <w:lang w:val="af-ZA"/>
        </w:rPr>
        <w:t>ցմանը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տեղեկացնում ենք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Ձեզ, որ մրցույթի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բժշկական սարքավորումների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տեխնիկական 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>բնութագրերը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կազմվել են համաձայն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Գնումների մասին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ՀՀ օրենքի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13-րդ հոդվածի պահանջներով. Այսինքն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Գնման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առարկայի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հատկանիշները</w:t>
      </w:r>
      <w:proofErr w:type="spellEnd"/>
      <w:r w:rsidRPr="00C03ACA">
        <w:rPr>
          <w:rFonts w:ascii="Calibri" w:eastAsia="Times New Roman" w:hAnsi="Calibri" w:cs="Calibri"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պահանջ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կամ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հղում</w:t>
      </w:r>
      <w:proofErr w:type="spellEnd"/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չեն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պարունակում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որևէ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առևտրային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նշանի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,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ֆիրմային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անվանմանը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,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արտոնագրին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,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էսքիզին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կամ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մոդելին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,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ծագման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երկրին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կամ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կոնկրետ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աղբյուրին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կամ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արտադրողին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, ուստի չենք սահմանափակել Ձեր իրավունքները մրցույթին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մասնակցելու համար, հղման դեպքում կարող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եք հասկանալ 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>«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կամ</w:t>
      </w:r>
      <w:proofErr w:type="spellEnd"/>
      <w:r w:rsidRPr="00C03ACA">
        <w:rPr>
          <w:rFonts w:ascii="Calibri" w:eastAsia="Times New Roman" w:hAnsi="Calibri" w:cs="Calibri"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համարժեք</w:t>
      </w:r>
      <w:proofErr w:type="spellEnd"/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»: Բոլոր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color w:val="262626"/>
          <w:sz w:val="24"/>
          <w:szCs w:val="24"/>
          <w:lang w:val="af-ZA"/>
        </w:rPr>
        <w:t xml:space="preserve"> պարամետրերը ներկայացված են միջակայքերով,</w:t>
      </w:r>
      <w:r w:rsidRPr="00C03ACA">
        <w:rPr>
          <w:rFonts w:ascii="Courier New" w:eastAsia="Times New Roman" w:hAnsi="Courier New" w:cs="Courier New"/>
          <w:color w:val="262626"/>
          <w:sz w:val="24"/>
          <w:szCs w:val="24"/>
          <w:lang w:val="af-ZA"/>
        </w:rPr>
        <w:t> 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մրցակցության</w:t>
      </w:r>
      <w:r w:rsidRPr="00C03ACA">
        <w:rPr>
          <w:rFonts w:ascii="Calibri" w:eastAsia="Times New Roman" w:hAnsi="Calibri" w:cs="Calibri"/>
          <w:color w:val="262626"/>
        </w:rPr>
        <w:t>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հավասար</w:t>
      </w:r>
      <w:r w:rsidRPr="00C03ACA">
        <w:rPr>
          <w:rFonts w:ascii="Calibri" w:eastAsia="Times New Roman" w:hAnsi="Calibri" w:cs="Calibri"/>
          <w:color w:val="262626"/>
        </w:rPr>
        <w:t>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պայմաններ</w:t>
      </w:r>
      <w:r w:rsidRPr="00C03ACA">
        <w:rPr>
          <w:rFonts w:ascii="Calibri" w:eastAsia="Times New Roman" w:hAnsi="Calibri" w:cs="Calibri"/>
          <w:color w:val="262626"/>
        </w:rPr>
        <w:t>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ապահովելով</w:t>
      </w:r>
      <w:r w:rsidRPr="00C03ACA">
        <w:rPr>
          <w:rFonts w:ascii="Calibri" w:eastAsia="Times New Roman" w:hAnsi="Calibri" w:cs="Calibri"/>
          <w:color w:val="262626"/>
        </w:rPr>
        <w:t> 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հնարավոր</w:t>
      </w:r>
      <w:r w:rsidRPr="00C03ACA">
        <w:rPr>
          <w:rFonts w:ascii="Calibri" w:eastAsia="Times New Roman" w:hAnsi="Calibri" w:cs="Calibri"/>
          <w:color w:val="262626"/>
        </w:rPr>
        <w:t>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մասնակիցների</w:t>
      </w:r>
      <w:r w:rsidRPr="00C03ACA">
        <w:rPr>
          <w:rFonts w:ascii="Calibri" w:eastAsia="Times New Roman" w:hAnsi="Calibri" w:cs="Calibri"/>
          <w:color w:val="262626"/>
        </w:rPr>
        <w:t> 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</w:rPr>
        <w:t>համար</w:t>
      </w:r>
      <w:r w:rsidRPr="00C03ACA">
        <w:rPr>
          <w:rFonts w:ascii="GHEA Grapalat" w:eastAsia="Times New Roman" w:hAnsi="GHEA Grapalat" w:cs="Calibri"/>
          <w:color w:val="262626"/>
          <w:sz w:val="24"/>
          <w:szCs w:val="24"/>
          <w:lang w:val="af-ZA"/>
        </w:rPr>
        <w:t>:</w:t>
      </w:r>
    </w:p>
    <w:p w:rsidR="00C03ACA" w:rsidRPr="00C03ACA" w:rsidRDefault="00C03ACA" w:rsidP="00C03AC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62626"/>
          <w:sz w:val="23"/>
          <w:szCs w:val="23"/>
        </w:rPr>
      </w:pP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    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2-րդ չափաբաժնի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տեխնիկական բնութագրի մեջ չկա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՛՛հորիզոնական ստոյկա՛՛ արտահայտությունը, նորից ծանոթացեք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62626"/>
          <w:sz w:val="24"/>
          <w:szCs w:val="24"/>
          <w:lang w:val="af-ZA"/>
        </w:rPr>
        <w:t xml:space="preserve"> տեխնիկական բնութագրի</w:t>
      </w:r>
      <w:r w:rsidRPr="00C03ACA">
        <w:rPr>
          <w:rFonts w:ascii="GHEA Grapalat" w:eastAsia="Times New Roman" w:hAnsi="GHEA Grapalat" w:cs="Calibri"/>
          <w:i/>
          <w:iCs/>
          <w:color w:val="262626"/>
          <w:sz w:val="24"/>
          <w:szCs w:val="24"/>
          <w:lang w:val="af-ZA"/>
        </w:rPr>
        <w:t xml:space="preserve"> պահանջներին, իսկ ինչ վերաբերվում է</w:t>
      </w:r>
      <w:r w:rsidRPr="00C03ACA">
        <w:rPr>
          <w:rFonts w:ascii="Courier New" w:eastAsia="Times New Roman" w:hAnsi="Courier New" w:cs="Courier New"/>
          <w:i/>
          <w:iCs/>
          <w:color w:val="262626"/>
          <w:sz w:val="24"/>
          <w:szCs w:val="24"/>
          <w:lang w:val="af-ZA"/>
        </w:rPr>
        <w:t> 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"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ռենտգեն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սկոպիայի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ռեժիմ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և</w:t>
      </w:r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նկարահանման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+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տպիչ</w:t>
      </w:r>
      <w:proofErr w:type="spellEnd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" արտահայտությանը, ապա 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նշանակում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է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 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lastRenderedPageBreak/>
        <w:t>թվային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ռենտգեն</w:t>
      </w:r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ապարատը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իր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մեջ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ներառում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է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և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սկոպիայի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ռեժիմ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և</w:t>
      </w:r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նկարահանման</w:t>
      </w:r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ռեժիմ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 /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երկուսը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մեկում</w:t>
      </w:r>
      <w:proofErr w:type="spellEnd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/,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դրա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հետ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միաժամանակ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ունենա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տպիչ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նկարները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տպելու</w:t>
      </w:r>
      <w:proofErr w:type="spellEnd"/>
      <w:r w:rsidRPr="00C03ACA">
        <w:rPr>
          <w:rFonts w:ascii="Calibri" w:eastAsia="Times New Roman" w:hAnsi="Calibri" w:cs="Calibri"/>
          <w:i/>
          <w:iCs/>
          <w:color w:val="262626"/>
        </w:rPr>
        <w:t> </w:t>
      </w:r>
      <w:proofErr w:type="spellStart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</w:rPr>
        <w:t>համար</w:t>
      </w:r>
      <w:proofErr w:type="spellEnd"/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: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 2-րդ չափաբաժինը /և ոչ միայն/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 ներկայացված է պատշաճ տեխնիկական բնութագրով:</w:t>
      </w:r>
    </w:p>
    <w:p w:rsidR="00C03ACA" w:rsidRPr="00C03ACA" w:rsidRDefault="00C03ACA" w:rsidP="00C03AC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62626"/>
          <w:sz w:val="23"/>
          <w:szCs w:val="23"/>
        </w:rPr>
      </w:pP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Շնորհակալություն</w:t>
      </w:r>
      <w:r w:rsidRPr="00C03ACA">
        <w:rPr>
          <w:rFonts w:ascii="Courier New" w:eastAsia="Times New Roman" w:hAnsi="Courier New" w:cs="Courier New"/>
          <w:i/>
          <w:iCs/>
          <w:color w:val="2C2D2E"/>
          <w:sz w:val="24"/>
          <w:szCs w:val="24"/>
          <w:shd w:val="clear" w:color="auto" w:fill="FFFFFF"/>
          <w:lang w:val="af-ZA"/>
        </w:rPr>
        <w:t> </w:t>
      </w:r>
      <w:r w:rsidRPr="00C03ACA">
        <w:rPr>
          <w:rFonts w:ascii="GHEA Grapalat" w:eastAsia="Times New Roman" w:hAnsi="GHEA Grapalat" w:cs="GHEA Grapalat"/>
          <w:i/>
          <w:iCs/>
          <w:color w:val="2C2D2E"/>
          <w:sz w:val="24"/>
          <w:szCs w:val="24"/>
          <w:shd w:val="clear" w:color="auto" w:fill="FFFFFF"/>
          <w:lang w:val="af-ZA"/>
        </w:rPr>
        <w:t xml:space="preserve"> հարցադրման համար</w:t>
      </w:r>
      <w:r w:rsidRPr="00C03ACA">
        <w:rPr>
          <w:rFonts w:ascii="GHEA Grapalat" w:eastAsia="Times New Roman" w:hAnsi="GHEA Grapalat" w:cs="Calibri"/>
          <w:i/>
          <w:iCs/>
          <w:color w:val="2C2D2E"/>
          <w:sz w:val="24"/>
          <w:szCs w:val="24"/>
          <w:shd w:val="clear" w:color="auto" w:fill="FFFFFF"/>
          <w:lang w:val="af-ZA"/>
        </w:rPr>
        <w:t>:</w:t>
      </w:r>
    </w:p>
    <w:p w:rsidR="00C03ACA" w:rsidRPr="00C03ACA" w:rsidRDefault="00C03ACA" w:rsidP="00C03ACA">
      <w:pPr>
        <w:shd w:val="clear" w:color="auto" w:fill="FFFFFF"/>
        <w:spacing w:after="195" w:line="240" w:lineRule="auto"/>
        <w:jc w:val="both"/>
        <w:rPr>
          <w:rFonts w:ascii="GHEA Grapalat" w:eastAsia="Times New Roman" w:hAnsi="GHEA Grapalat" w:cs="Arial"/>
          <w:color w:val="262626"/>
          <w:sz w:val="23"/>
          <w:szCs w:val="23"/>
        </w:rPr>
      </w:pPr>
      <w:r w:rsidRPr="00C03ACA">
        <w:rPr>
          <w:rFonts w:ascii="Arial" w:eastAsia="Times New Roman" w:hAnsi="Arial" w:cs="Arial"/>
          <w:color w:val="262626"/>
          <w:sz w:val="23"/>
          <w:szCs w:val="23"/>
        </w:rPr>
        <w:t> </w:t>
      </w:r>
    </w:p>
    <w:p w:rsidR="00257105" w:rsidRPr="00C03ACA" w:rsidRDefault="00257105">
      <w:pPr>
        <w:rPr>
          <w:rFonts w:ascii="GHEA Grapalat" w:hAnsi="GHEA Grapalat"/>
        </w:rPr>
      </w:pPr>
    </w:p>
    <w:sectPr w:rsidR="00257105" w:rsidRPr="00C03ACA" w:rsidSect="0025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ACA"/>
    <w:rsid w:val="00257105"/>
    <w:rsid w:val="00C0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2022-11-11T05:15:00Z</dcterms:created>
  <dcterms:modified xsi:type="dcterms:W3CDTF">2022-11-11T05:16:00Z</dcterms:modified>
</cp:coreProperties>
</file>