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D41E99" w:rsidP="00D41E99">
      <w:pPr>
        <w:spacing w:after="0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r w:rsidR="00A37D7E" w:rsidRPr="0031124D">
        <w:rPr>
          <w:rFonts w:ascii="GHEA Grapalat" w:hAnsi="GHEA Grapalat"/>
          <w:bCs/>
          <w:color w:val="FF0000"/>
          <w:sz w:val="20"/>
        </w:rPr>
        <w:t>դյուրակիր համակարգիչների</w:t>
      </w:r>
      <w:r w:rsidR="00A37D7E" w:rsidRPr="00F959BB">
        <w:rPr>
          <w:rFonts w:ascii="GHEA Grapalat" w:hAnsi="GHEA Grapalat" w:cs="Sylfaen"/>
          <w:color w:val="0070C0"/>
          <w:sz w:val="20"/>
          <w:lang w:val="af-ZA"/>
        </w:rPr>
        <w:t xml:space="preserve"> </w:t>
      </w:r>
      <w:r w:rsidR="00A37D7E">
        <w:rPr>
          <w:rFonts w:ascii="GHEA Grapalat" w:hAnsi="GHEA Grapalat" w:cs="Sylfaen"/>
          <w:color w:val="0070C0"/>
          <w:sz w:val="20"/>
          <w:lang w:val="af-ZA"/>
        </w:rPr>
        <w:t xml:space="preserve">և </w:t>
      </w:r>
      <w:r w:rsidR="00A37D7E" w:rsidRPr="00757A7D">
        <w:rPr>
          <w:rFonts w:ascii="GHEA Grapalat" w:hAnsi="GHEA Grapalat" w:cs="Sylfaen"/>
          <w:color w:val="FF0000"/>
          <w:sz w:val="20"/>
        </w:rPr>
        <w:t>համակարգչային</w:t>
      </w:r>
      <w:r w:rsidR="00A37D7E" w:rsidRPr="00757A7D">
        <w:rPr>
          <w:rFonts w:ascii="GHEA Grapalat" w:hAnsi="GHEA Grapalat"/>
          <w:color w:val="FF0000"/>
          <w:sz w:val="20"/>
        </w:rPr>
        <w:t xml:space="preserve"> </w:t>
      </w:r>
      <w:r w:rsidR="00A37D7E" w:rsidRPr="00757A7D">
        <w:rPr>
          <w:rFonts w:ascii="GHEA Grapalat" w:hAnsi="GHEA Grapalat" w:cs="Sylfaen"/>
          <w:color w:val="FF0000"/>
          <w:sz w:val="20"/>
        </w:rPr>
        <w:t>սերվերներ</w:t>
      </w:r>
      <w:r w:rsidR="00A37D7E" w:rsidRPr="00757A7D">
        <w:rPr>
          <w:rFonts w:ascii="GHEA Grapalat" w:hAnsi="GHEA Grapalat" w:cs="Sylfaen"/>
          <w:color w:val="FF0000"/>
          <w:sz w:val="20"/>
          <w:lang w:val="af-ZA"/>
        </w:rPr>
        <w:t>ի</w:t>
      </w:r>
      <w:r w:rsidR="00F26AC6" w:rsidRPr="00FC257D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5171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ՊՆ-ԳՀԱՊՁԲ-</w:t>
      </w:r>
      <w:r w:rsidR="00A37D7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23-1/4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9B04C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2023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8B2A11" w:rsidRPr="00CA07F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մայիս</w:t>
      </w:r>
      <w:r w:rsidR="00F26AC6" w:rsidRPr="00CA07F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</w:t>
      </w:r>
      <w:r w:rsidR="00ED3F7E" w:rsidRPr="00CA07F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</w:t>
      </w:r>
      <w:r w:rsidR="00CA07F8" w:rsidRPr="00CA07F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29</w:t>
      </w:r>
      <w:r w:rsidR="00ED3F7E" w:rsidRPr="00CA07F8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665"/>
        <w:gridCol w:w="532"/>
        <w:gridCol w:w="1031"/>
        <w:gridCol w:w="637"/>
        <w:gridCol w:w="1031"/>
        <w:gridCol w:w="979"/>
        <w:gridCol w:w="2393"/>
        <w:gridCol w:w="2393"/>
      </w:tblGrid>
      <w:tr w:rsidR="00ED3F7E" w:rsidRPr="00ED3F7E" w:rsidTr="00D41E99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</w:p>
        </w:tc>
      </w:tr>
      <w:tr w:rsidR="004B5AD2" w:rsidRPr="00ED3F7E" w:rsidTr="00D41E99">
        <w:trPr>
          <w:trHeight w:val="20"/>
          <w:jc w:val="center"/>
        </w:trPr>
        <w:tc>
          <w:tcPr>
            <w:tcW w:w="19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80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</w:p>
        </w:tc>
        <w:tc>
          <w:tcPr>
            <w:tcW w:w="292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752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</w:p>
        </w:tc>
        <w:tc>
          <w:tcPr>
            <w:tcW w:w="906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 գինը</w:t>
            </w:r>
          </w:p>
        </w:tc>
        <w:tc>
          <w:tcPr>
            <w:tcW w:w="1015" w:type="pct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039" w:type="pct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Պայմանագրով նախատեսված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</w:tr>
      <w:tr w:rsidR="004B5AD2" w:rsidRPr="00ED3F7E" w:rsidTr="00D41E99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287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06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/ՀՀ դրամ/</w:t>
            </w:r>
          </w:p>
        </w:tc>
        <w:tc>
          <w:tcPr>
            <w:tcW w:w="101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4B5AD2" w:rsidRPr="00ED3F7E" w:rsidTr="00D41E99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65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միջոցներով</w:t>
            </w:r>
          </w:p>
        </w:tc>
        <w:tc>
          <w:tcPr>
            <w:tcW w:w="441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101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39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4B5AD2" w:rsidRPr="0051712A" w:rsidTr="00D41E99">
        <w:trPr>
          <w:trHeight w:val="20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53596" w:rsidRPr="0051712A" w:rsidRDefault="00753596" w:rsidP="00753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դյուրակիր</w:t>
            </w:r>
            <w:r w:rsidRPr="00CB7F3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7F36">
              <w:rPr>
                <w:rFonts w:ascii="GHEA Grapalat" w:hAnsi="GHEA Grapalat" w:cs="Sylfaen"/>
                <w:sz w:val="14"/>
                <w:szCs w:val="14"/>
              </w:rPr>
              <w:t>համակարգիչներ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130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B7F36">
              <w:rPr>
                <w:rFonts w:ascii="GHEA Grapalat" w:hAnsi="GHEA Grapalat"/>
                <w:color w:val="000000"/>
                <w:sz w:val="14"/>
                <w:szCs w:val="14"/>
              </w:rPr>
              <w:t>26,000,000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B7F36">
              <w:rPr>
                <w:rFonts w:ascii="GHEA Grapalat" w:hAnsi="GHEA Grapalat"/>
                <w:color w:val="000000"/>
                <w:sz w:val="14"/>
                <w:szCs w:val="14"/>
              </w:rPr>
              <w:t>26,000,000</w:t>
            </w:r>
          </w:p>
        </w:tc>
        <w:tc>
          <w:tcPr>
            <w:tcW w:w="101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3596" w:rsidRPr="008E3A76" w:rsidRDefault="00753596" w:rsidP="00753596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E3A76">
              <w:rPr>
                <w:rFonts w:ascii="GHEA Grapalat" w:hAnsi="GHEA Grapalat"/>
                <w:sz w:val="12"/>
                <w:szCs w:val="12"/>
              </w:rPr>
              <w:t>Էկրանը</w:t>
            </w:r>
            <w:proofErr w:type="gramStart"/>
            <w:r w:rsidRPr="008E3A76">
              <w:rPr>
                <w:rFonts w:ascii="GHEA Grapalat" w:hAnsi="GHEA Grapalat"/>
                <w:sz w:val="12"/>
                <w:szCs w:val="12"/>
              </w:rPr>
              <w:t>՝  նվազագույնը</w:t>
            </w:r>
            <w:proofErr w:type="gramEnd"/>
            <w:r w:rsidRPr="008E3A76">
              <w:rPr>
                <w:rFonts w:ascii="GHEA Grapalat" w:hAnsi="GHEA Grapalat"/>
                <w:sz w:val="12"/>
                <w:szCs w:val="12"/>
              </w:rPr>
              <w:t xml:space="preserve"> 15.6՛՛ FHD, կետերի խտությունը՝ առնվազն  1920 x 1080, պայծառությունը 200 nit։ Պրոցեսորը՝ առնվազն CORE I3 10-րդ սերնդի, բազային հաճախականությունը առնվազն 3.0 ԳՀց,  Turbo ռեժիմում պրոցեսորի տակտային հաճախականությունը առնվազն 4.0 ԳՀց, միջուկների քանակը առնվազն 2, առնվազն  2 հոսք, քեշ հիշողության ծավալը առնվազն 4ՄԲ։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8E3A76">
              <w:rPr>
                <w:rFonts w:ascii="GHEA Grapalat" w:hAnsi="GHEA Grapalat"/>
                <w:sz w:val="12"/>
                <w:szCs w:val="12"/>
              </w:rPr>
              <w:t xml:space="preserve">Գրաֆիկա՝ պրոցեսորի մեջ </w:t>
            </w:r>
            <w:r w:rsidRPr="008E3A76">
              <w:rPr>
                <w:rFonts w:ascii="GHEA Grapalat" w:hAnsi="GHEA Grapalat"/>
                <w:color w:val="000000"/>
                <w:sz w:val="12"/>
                <w:szCs w:val="12"/>
              </w:rPr>
              <w:t>ներկառուցված Intel</w:t>
            </w:r>
            <w:r w:rsidRPr="008E3A76">
              <w:rPr>
                <w:rFonts w:ascii="GHEA Grapalat" w:hAnsi="GHEA Grapalat"/>
                <w:sz w:val="12"/>
                <w:szCs w:val="12"/>
              </w:rPr>
              <w:t xml:space="preserve"> UHD Graphics:</w:t>
            </w:r>
          </w:p>
          <w:p w:rsidR="00753596" w:rsidRPr="008E3A76" w:rsidRDefault="00753596" w:rsidP="00753596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8E3A76">
              <w:rPr>
                <w:rFonts w:ascii="GHEA Grapalat" w:hAnsi="GHEA Grapalat"/>
                <w:sz w:val="12"/>
                <w:szCs w:val="12"/>
              </w:rPr>
              <w:t>Oպերատիվ հիշողության առնվազն 8Գբ, օպերատիվ հիշողության տիպը DDR4, օպերատիվ հիշողութան հաճախականությունը առնվազն 2666ՄՀց ։  Ներքին հիշողության պինդ մարմնային կուտակիչ SSD՝ անվազն 1 հատ ներկառուցված 256 Գբ ծավալով կրիչ: Ներկառուցված առնվազն 720p at 30 fps HD տեսախցիկ, ներկառուցված միկրոֆոն։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8E3A76">
              <w:rPr>
                <w:rFonts w:ascii="GHEA Grapalat" w:hAnsi="GHEA Grapalat"/>
                <w:sz w:val="12"/>
                <w:szCs w:val="12"/>
              </w:rPr>
              <w:t>Անլար ցանցին միանալու հնարավորությունները և ստանդարտները՝ առնվազն Wi-Fi 802.11ac, առնվազն 1 հատ Ethernet բնիկ։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8E3A76">
              <w:rPr>
                <w:rFonts w:ascii="GHEA Grapalat" w:hAnsi="GHEA Grapalat"/>
                <w:sz w:val="12"/>
                <w:szCs w:val="12"/>
              </w:rPr>
              <w:t>Արտաքին սարքերին միացման պորտերը ոչ պակաս՝ 1 հատ առնվազն USB 2.0, 1 հատ HDMI բնիկ, 1 հատ ականջակալի և միկրոֆոնի կոմբինացված բնիկ՝ headphone/microphone combo,  1 հատ   USB 3.2 Gen:  Մարտկոցը՝ լիթիում Իոնային։ Կենցաղային փոփոխական հոսանքից սնուցման համապատասխան ադապտերի առկայություն։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8E3A76">
              <w:rPr>
                <w:rFonts w:ascii="GHEA Grapalat" w:hAnsi="GHEA Grapalat"/>
                <w:sz w:val="12"/>
                <w:szCs w:val="12"/>
              </w:rPr>
              <w:t>Համապատասխան ծրագրային ապահովման CD սկավառակ (ներ) և փաստաթղթեր, էլեկտրական հոսանքին և սարքերը իրար միացնող համապատասխան լարերով, Windows 10 օպերացիոն համակարգի աշխատանքի հնարավորություն ապահովող տեխնիկական հատկանիշներով:</w:t>
            </w:r>
          </w:p>
        </w:tc>
        <w:tc>
          <w:tcPr>
            <w:tcW w:w="103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596" w:rsidRPr="00753596" w:rsidRDefault="00753596" w:rsidP="00753596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753596">
              <w:rPr>
                <w:rFonts w:ascii="GHEA Grapalat" w:hAnsi="GHEA Grapalat"/>
                <w:sz w:val="12"/>
                <w:szCs w:val="12"/>
              </w:rPr>
              <w:t xml:space="preserve">Tripod </w:t>
            </w:r>
            <w:proofErr w:type="gramStart"/>
            <w:r w:rsidRPr="00753596">
              <w:rPr>
                <w:rFonts w:ascii="GHEA Grapalat" w:hAnsi="GHEA Grapalat"/>
                <w:sz w:val="12"/>
                <w:szCs w:val="12"/>
              </w:rPr>
              <w:t xml:space="preserve">Ever 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>TE</w:t>
            </w:r>
            <w:proofErr w:type="gramEnd"/>
            <w:r w:rsidRPr="00753596">
              <w:rPr>
                <w:rFonts w:ascii="GHEA Grapalat" w:hAnsi="GHEA Grapalat"/>
                <w:sz w:val="12"/>
                <w:szCs w:val="12"/>
              </w:rPr>
              <w:t xml:space="preserve">-L156, </w:t>
            </w:r>
            <w:r w:rsidRPr="00753596">
              <w:rPr>
                <w:rFonts w:ascii="GHEA Grapalat" w:hAnsi="GHEA Grapalat"/>
                <w:i/>
                <w:sz w:val="12"/>
                <w:szCs w:val="12"/>
              </w:rPr>
              <w:t>Shenzhen Tripod Ever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sz w:val="12"/>
                <w:szCs w:val="12"/>
                <w:lang w:val="en-AU"/>
              </w:rPr>
              <w:t>Technology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sz w:val="12"/>
                <w:szCs w:val="12"/>
                <w:lang w:val="en-AU"/>
              </w:rPr>
              <w:t>Co., Ltd</w:t>
            </w:r>
            <w:r w:rsidRPr="00753596">
              <w:rPr>
                <w:rFonts w:ascii="GHEA Grapalat" w:hAnsi="GHEA Grapalat"/>
                <w:sz w:val="12"/>
                <w:szCs w:val="12"/>
              </w:rPr>
              <w:t xml:space="preserve"> Էկրանը՝  նվազագույնը 15.6՛՛ FHD, կետերի խտությունը՝ առնվազն  1920 x 1080, պայծառությունը 200 nit։ Պրոցեսորը՝ առնվազն CORE I3 10-րդ սերնդի, բազային հաճախականությունը առնվազն 3.0 ԳՀց,  Turbo ռեժիմում պրոցեսորի տակտային հաճախականությունը առնվազն 4.0 ԳՀց, միջուկների քանակը առնվազն 2, առնվազն  2 հոսք, քեշ հիշողության ծավալը առնվազն 4ՄԲ։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 xml:space="preserve">Գրաֆիկա՝ պրոցեսորի մեջ </w:t>
            </w:r>
            <w:r w:rsidRPr="00753596">
              <w:rPr>
                <w:rFonts w:ascii="GHEA Grapalat" w:hAnsi="GHEA Grapalat"/>
                <w:color w:val="000000"/>
                <w:sz w:val="12"/>
                <w:szCs w:val="12"/>
              </w:rPr>
              <w:t>ներկառուցված Intel</w:t>
            </w:r>
            <w:r w:rsidRPr="00753596">
              <w:rPr>
                <w:rFonts w:ascii="GHEA Grapalat" w:hAnsi="GHEA Grapalat"/>
                <w:sz w:val="12"/>
                <w:szCs w:val="12"/>
              </w:rPr>
              <w:t xml:space="preserve"> UHD Graphics: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>Oպերատիվ հիշողության առնվազն 8Գբ, օպերատիվ հիշողության տիպը DDR4, օպերատիվ հիշողութան հաճախականությունը առնվազն 2666ՄՀց։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753596">
              <w:rPr>
                <w:rFonts w:ascii="GHEA Grapalat" w:hAnsi="GHEA Grapalat"/>
                <w:sz w:val="12"/>
                <w:szCs w:val="12"/>
              </w:rPr>
              <w:t xml:space="preserve">Ներքին հիշողության պինդ մարմնային կուտակիչ SSD՝ անվազն 1 հատ ներկառուցված 256 Գբ ծավալով կրիչ: </w:t>
            </w:r>
          </w:p>
          <w:p w:rsidR="00753596" w:rsidRPr="00753596" w:rsidRDefault="00753596" w:rsidP="00753596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753596">
              <w:rPr>
                <w:rFonts w:ascii="GHEA Grapalat" w:hAnsi="GHEA Grapalat"/>
                <w:sz w:val="12"/>
                <w:szCs w:val="12"/>
              </w:rPr>
              <w:t>Ներկառուցված առնվազն 720p at 30 fps HD տեսախցիկ, ներկառուցված միկրոֆոն։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>Անլար ցանցին միանալու հնարավորությունները և ստանդարտները՝ առնվազն Wi-Fi 802.11ac, առնվազն 1 հատ Ethernet բնիկ։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>Արտաքին սարքերին միացման պորտերը ոչ պակաս՝ 1 հատ առնվազն USB 2.0, 1 հատ HDMI բնիկ, 1 հատ ականջակալի և միկրոֆոնի կոմբինացված բնիկ՝ headphone/ microphone combo,  1 հատ   USB 3.2 Gen:  Մարտկոցը՝ լիթիում Իոնային։ Կենցաղային փոփոխական հոսանքից սնուցման համապատասխան ադապտերի առկայություն։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53596">
              <w:rPr>
                <w:rFonts w:ascii="GHEA Grapalat" w:hAnsi="GHEA Grapalat"/>
                <w:sz w:val="12"/>
                <w:szCs w:val="12"/>
              </w:rPr>
              <w:t>Համապատասխան ծրագրային ապահովման CD սկավառակ (ներ) և փաստաթղթեր, էլեկտրական հոսանքին և սարքերը իրար միացնող համապատասխան լարերով, Windows 10 օպերացիոն համակարգի աշխատանքի հնարավորություն ապահովող տեխնիկական հատկանիշներով:</w:t>
            </w:r>
          </w:p>
        </w:tc>
      </w:tr>
      <w:tr w:rsidR="004B5AD2" w:rsidRPr="0051712A" w:rsidTr="00D41E99">
        <w:trPr>
          <w:trHeight w:val="20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753596" w:rsidRPr="0051712A" w:rsidRDefault="00753596" w:rsidP="007535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համակարգչային սերվերներ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B7F3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B7F36">
              <w:rPr>
                <w:rFonts w:ascii="GHEA Grapalat" w:hAnsi="GHEA Grapalat"/>
                <w:color w:val="000000"/>
                <w:sz w:val="14"/>
                <w:szCs w:val="14"/>
              </w:rPr>
              <w:t>76,228,922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753596" w:rsidRPr="00CB7F36" w:rsidRDefault="00753596" w:rsidP="0075359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B7F36">
              <w:rPr>
                <w:rFonts w:ascii="GHEA Grapalat" w:hAnsi="GHEA Grapalat"/>
                <w:color w:val="000000"/>
                <w:sz w:val="14"/>
                <w:szCs w:val="14"/>
              </w:rPr>
              <w:t>76,228,922</w:t>
            </w:r>
          </w:p>
        </w:tc>
        <w:tc>
          <w:tcPr>
            <w:tcW w:w="1015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5D3C" w:rsidRPr="00B65D3C" w:rsidRDefault="00B65D3C" w:rsidP="00D41E99">
            <w:pPr>
              <w:spacing w:line="240" w:lineRule="auto"/>
              <w:contextualSpacing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</w:pPr>
            <w:r w:rsidRPr="00B65D3C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  <w:t>ՍԵՐՎԵՐ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SPEC CPU®2017 Integer Rate արդյունքի գնահատականի համաձայն՝ առաջարկվող սերվերը CPU-ով պետք է ունենա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առնվազն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 489 հաշվարկ, CPU-երի քանակը –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առնվազն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4, յուրաքանչյուր պրոցեսորի միջուկների քանակը-18. CPU-ն պետք է աշխատի վաճառողի կողմից նշանակված հաճախականությամբ (առնվազն 2.6GHz), կազմակերպությունների կողմից համեմատական վերլուծությունների վավերացված գնահատման թեստերի պատճենները պետք է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կցված լինի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անհրաժեշտ փաստաթղթերում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: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RAM՝ 32 հատ 32GB (1x32GB) Dual Rank x4 DDR4-2933 CAS-21-21-21 Registered Smart Memory հիշողություն, HDD` 4 x 2.4TB SAS 12G Mission Critical 10K SFF SC 3-year Warranty 512e Multi Vendor HDD 2,5՛՛ և 4 x 960GB SAS 12G Mixed Use SFF SC Value SAS Multi Vendor SSD 2,5՛՛ դիսկեր, ընդհանուր առմամբ 8 հատ 2,5՛՛ ֆորմատի դիսկերի տեղակայման հնարավորությամբ,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մայր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ական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սալիկի վրա ինտեգրված ցանցային քարտ՝ 4 x 1Gb ինտերֆեյսերով FLR ֆորմատով և 2-port 10Gb SFP+ 57810S Adapter իր SFP+ օպտիկական մոդուլներով, ինտեգրված RAID hardware Controller 16 Lanes 4GB internal Cache հիշողությամբ մինչև 64 տրամաբանական հատորների կառավարում` SAS RAID:0/1/5/6/</w:t>
            </w:r>
            <w:r w:rsidR="000C7DB4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10/50/60/1TP/10TP աջակցությամբ,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lastRenderedPageBreak/>
              <w:t>SSD Accelerator Smart Path ֆունկցի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ներո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վ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, Read ahead Caching և Write-Back caching ֆունկցիաներով,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սնուցման բլոկեր՝ Dual Hot Plug Power Supplies, նվազագույնը 800W, 96%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արդյունավետու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թյամբ, պետք է ներառված լինեն սնուցման լարեր, UPS-ին միացնելու լարեր, Easy install Rail kit Cable Management Arm-ով: Ներառել սերվերային Օպերացիոն Համակարգի լիցենզիաները համապատասխան քանակի՝ Microsoft Windows Server 2022 Std Edition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-ով:</w:t>
            </w:r>
          </w:p>
          <w:p w:rsidR="00B65D3C" w:rsidRPr="00B65D3C" w:rsidRDefault="00B65D3C" w:rsidP="00D41E99">
            <w:pPr>
              <w:spacing w:after="0" w:line="240" w:lineRule="auto"/>
              <w:contextualSpacing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>ՏՎՅԱԼՆԵՐԻ ՊԱՀՊԱՆՄԱՆ ՀԱՄԱԿԱՐԳ</w:t>
            </w:r>
          </w:p>
          <w:p w:rsidR="00B65D3C" w:rsidRPr="00B65D3C" w:rsidRDefault="000C7DB4" w:rsidP="00D41E99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Տ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վյալների պահպանման համակարգ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(այսուհետ ՏՊՀ</w:t>
            </w:r>
            <w:proofErr w:type="gramStart"/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)՝</w:t>
            </w:r>
            <w:proofErr w:type="gramEnd"/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երկու կոնտրոլերով, որոնք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պետք է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աշխատեն “active – active” ռեժիմում և որոնցից յուրաքանչյուրը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ո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ւնենա առնվազն 12GB քեշ: Առաջարկվող ՏՊՀ-ն պետք է ունենա SSD/Flash քեշ-ի աջակցություն:  Համակարգը պետք է աջակցի առնվազն 4ՏԲ ծավալի Flash քեշ։ Առաջարկվող ՏՊՀ-ի յուրաքանչյուր կոնտրոլերի պետք է ունենա առնվազն չորս 10Gb/s Base-T iSCSI պորտեր։ Առաջարկվող ՏՊՀ-ն պետք է ապահովի բոլոր վերը նշված պորտերի աշխատանքը iSCSI պրոտոկոլով:  Պետք է ներառի 4 հատ 10Gb/s Base-T տրանսիվերներ, համապատասխան համակցման համար։ ՏՊՀ-ն հոսանքի կորստի դեպքում պետք է հասցնի ապահովել քեշ մոդուլում պարունակվող տվյալների պահպանումը անժամկետ կամ առնվազն 5 տարով՝ օգտագործելով ներքին մարտկոց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(battery) կամ կուտակիչ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(capacitor): Պետք է ապահովի դիսկերի «hot plug» ընդլայնում, ինչպես նաև դիսկերի, կոնտրոլերների, հոսանքի սնուցման բլոկերի ու հովացման բլոկերի «hot» փոխարինում: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Առաջարկվող ՏՊՀ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-ն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պետք է ունենա RAID 1, Raid 10, Raid 5 և Raid 6 աջակցություն: Բոլոր raid-երի և Flash քեշի հետ պետք է աջակցվի նաև “Thin Provisioning”: Առաջարկվող ՏՊՀ-ն պետք է ապահովի առնվազն 512 հատ LUN-ի աջակցություն: Պետք է ապահովի առնվազն 120TB չափ ունեցող LUN-երի աջակցություն: ՏՊՀ-ն պետք է աջակցի  2.4TB ծավալով 10К Enterprise SAS սկավառակներ, 7.68TB ծավալով SSD կրիչներ և 20TB NL SAS 7.2К սկավառակներ: Բացի Flash քեշի համար նախատեսված SSD-ներից համակարգը պետք է ներառի 7 հատ 3.84ՏԲ (DWPD&gt;1) SFF SSD կրիչներ: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Առաջարկվող ՏՊՀ-ն պետք է ունենա FIPS 140-2 self-encrypted SAS և NL SAS դիսկերի աջակցություն: ՏՊՀ-ն պետք է աջակցի առնվազն 96 հատ SFF տիպի սկավառակների կամ SSD-ների միացում: ՏՊՀ-ն պետք է աջակցի վիրտուալիզացիայի տեխնոլոգիա, որը հնարավորություն կտա volume-ների տվյալները տեղաբաշխել մեկ դիսկային փուլի շրջանակում նույն տեսակի բոլոր սկավառակների միջև։ Դիսկային փուլը պետք է աջակցի բո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լոր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վերը նշված raid-երը։ ՏՊՀ-ն պետք է աջակցի «Sub Lun Tiering» տեխնոլոգիա, որը հնարավորություն կտա տվյալները ռեալ ժամանակում տեղաբաշխել մեկ դիսկային փուլի տարբեր տեսակի դիսկերի միջև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SSD, SAS, NL SAS)։ ՏՊՀ-ն պետք է ունանա ներկառուցվածարտադրողականության ղեկավարման համակարգ։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Ղեկավարման վահանակը պետք է կարողանա ցուցադրել համակարգի ընդհանուր IOPS և MB/sec արտադրողականությունը։ Պետք է ունենա “controller based Snapshot և</w:t>
            </w:r>
            <w:r w:rsidR="000C7DB4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clone”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տեխնոլոգիաների աջակցություն: Պետք է ապահովի առնվազն 512 հատ snapshot ստեղծելու հնարավորություն (եթե տվյալ ֆունկցիոնալը ապահովելու համար անհրաժեշտ է լրացուցիչ լիցենզիա, ապա այն պետք է լինի ներառված)։ ՏՊՀ-ն պետք է տա Global Spare դիսկ կամ RAID խմբին կցված spare դիսկ կոնֆիգուրացնելու հնարավորություն: Պետք է ունենա ռեպլիկացիայի աջակցություն: Պետք է ունենա հնարավորություն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lastRenderedPageBreak/>
              <w:t xml:space="preserve">ռեպլիակցնել նույն ընտանիքի ՏՊՀ-ներին միջև (եթե տվյալ ֆունկցիան ապահովելու համար անհրաժեշտ է լրացուցիչ լիցենզիա, ապա այն պետք է լինի ներառված)։ 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Պետք է աջակցի Windows server 2016 / 2019 / 2022, Linux, Vmware և այլ օպերացիոն համակարգերը: Համակարգերի տեղադրումը և գործարկումը պետք է իրականացվի սերտիֆիկացված մասնագետների կողմից: Համակարգը պետք է ներառի միացումներն իրականացնելու համար անհրաժեշտ բոլոր մալուխները և փոխարկիչները: Բոլոր սարքավորումների համար պետք է արտադրողի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կողմից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տրամադրվի ավտորիզացիոն նամակ (MAF)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կամ ՀՀ տարածքում արտոնագրված դիստրիբյուտորի ավտորիզացիոն նամակ(DAF)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: Բոլոր սարքավորումների վրա պետք է տրամադրվի արտադրողի կողմից 3 տարվա տեխ. աջակցում՝ 24x7 ռեժիմում սերվիս-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հայտ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գրանցելու հնարավորությամբ, 4 ժամվա արձագանքման մաքսիմալ ժամանակահատվածով: ՀՀ տարածքում արտոնագրված սերվիս կենտրոնի առկայությունը պարտադիր է, դրանց տվյալները պետք է նշված լինեն արտադրողի վեբ-կայքում:  </w:t>
            </w:r>
          </w:p>
          <w:p w:rsidR="00B65D3C" w:rsidRPr="00B65D3C" w:rsidRDefault="00B65D3C" w:rsidP="00D41E99">
            <w:pPr>
              <w:spacing w:after="0" w:line="240" w:lineRule="auto"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>ԱՆԽԱՓԱՆ ՍՆՈՒՑՄԱՆ ՍԱՐՔ</w:t>
            </w:r>
          </w:p>
          <w:p w:rsidR="00B65D3C" w:rsidRPr="00B65D3C" w:rsidRDefault="00B65D3C" w:rsidP="00D41E99">
            <w:pPr>
              <w:spacing w:after="0" w:line="240" w:lineRule="auto"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8 կՎԱ online 6U դարակաշարային: UPS-ն պետք է ապահովի մաքուր սինուս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ոիդ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ային ալիքի հզորություն և երկարատև աշխատանքային տևողություն՝ հոսանքի խափանումների ժամանակ կրիտիկական սարքավորումներին աջակցելու համար: Պետք է համալրված լինի կոշտ մետաղալարով՝ 3-լար (1P+N+E)/5-լար (3P+N+E) մուտքով, 6x IEC 320 C13, 4x IEC 320 C19 վարդակներով և 3x IEC jumper մալուխներով: Rack/Tower convertible, որում պետք է ռելսերը ներառված լինեն:</w:t>
            </w:r>
          </w:p>
          <w:p w:rsidR="00B65D3C" w:rsidRPr="00B65D3C" w:rsidRDefault="000C7DB4" w:rsidP="00D41E99">
            <w:pPr>
              <w:spacing w:after="0" w:line="240" w:lineRule="auto"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UPS-ն պետք է ունենա ներկառուցված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ց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անցի կառավարման քարտ՝ մոնիտորինգի և կառավարման համար: UPS-ը համալրված պետք է լինի PowerChute Network Shutdown-ով, որն ապահովում է ֆիզիկական սերվերների, վիրտուալ մեքենաների և HCI կլաստերների անջատում: Այն պետք է ունենա լրացուցիչ SmartSlot քարտի  տեղ: UPS-ը պետք է հնարավորություն ունենա միանալու EcoStruxure IT  կամ երրորդ կողմի կենտրոնացված կառավարման հարթակներին: Առնվազն մինչև 10 արտաքին մարտկոցնորի հավաքածուի տեղադրման հնարավորությամբ՝ հավելյալ ավտոնոմ աշխատանքի ժամանակի երկարաձգման հնարավորությամբ:</w:t>
            </w:r>
            <w:r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UPS-ը պետք է ունենա առնվազն 3 տարվա երաշխիք, իսկ ներկառուցված կապարաթթվային մարտկոցը՝ 2 տարվա երաշխիք։ UPS պետք է ներառի միացումներն իրականացնելու համար անհրաժեշտ բոլոր մալուխները և փոխարկիչները: Անխափան սնուցման սարքի համար արտադրողի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կողմից 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պետք է տրամադրվի ավտորիզացիոն նամակ (MAF)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կամ ՀՀ տարածքում արտոնագրված դիստրիբյուտորի ավտորիզացիոն նամակ (DAF)</w:t>
            </w:r>
            <w:r w:rsidR="00B65D3C"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: ՀՀ տարածքում արտոնագրված սերվիս կենտրոնի առկայությունը պարտադիր է, դրանց տվյալները պետք է նշված լինեն արտադրողի վեբ-կայքում:</w:t>
            </w:r>
          </w:p>
          <w:p w:rsidR="00B65D3C" w:rsidRPr="00B65D3C" w:rsidRDefault="00B65D3C" w:rsidP="00D41E99">
            <w:pPr>
              <w:spacing w:before="100" w:beforeAutospacing="1" w:line="240" w:lineRule="auto"/>
              <w:contextualSpacing/>
              <w:jc w:val="both"/>
              <w:rPr>
                <w:rFonts w:ascii="GHEA Grapalat" w:hAnsi="GHEA Grapalat" w:cs="Cambria Math"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  </w:t>
            </w:r>
            <w:r w:rsidRPr="00B65D3C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 xml:space="preserve">ՍԵՐՎԵՐԱՅԻՆ ՊԱՀԱՐԱՆ </w:t>
            </w:r>
            <w:r w:rsidRPr="00B65D3C">
              <w:rPr>
                <w:rFonts w:ascii="GHEA Grapalat" w:hAnsi="GHEA Grapalat"/>
                <w:b/>
                <w:bCs/>
                <w:sz w:val="12"/>
                <w:szCs w:val="12"/>
                <w:lang w:val="ru-RU" w:eastAsia="ru-RU"/>
              </w:rPr>
              <w:t>42U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,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գաբարիտային չափսերը (մմ) 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>առնվազն 2006(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բարձր.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>) x 1125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.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>2(խորութ-ն) x 597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.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8(լայն-ն), ստացիոնար վիճակում 1360 կգ բեռնելու հնարավորությամբ, դիմային և հետևի դռներով, կողային պանելներով, որոնք ունեն ընդհանուր բանալիով փական, հողանցման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լրակազմ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ով: Պետք է ապահովի ֆայլում բերված սարքավորումների տեղադրումը,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որը 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պետք է համապատասխանի EIA Type A ստանդարտի 4.1.1 սեկցիայի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և 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UL/CES, WEEE, RoHS պահանջներին: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Բ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ոլոր բաց սլոտերը, որոնցում սարքավորումներ տեղադրված չեն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lastRenderedPageBreak/>
              <w:t xml:space="preserve">պահարանի 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դիմացի կողմից պետք է փակ լինեն: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Այն պ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ետք է ներառի առնվազն երկու հատ ուղղահայաց 3.6VA 16A PDU, որոնցից յուրաքանչյուրը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պետք է 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>ունենա 20 հատ C13 և 2 հատ C19 տիպի վարդակներ</w:t>
            </w:r>
            <w:r w:rsidRPr="00B65D3C">
              <w:rPr>
                <w:rFonts w:ascii="GHEA Grapalat" w:hAnsi="GHEA Grapalat" w:cs="Cambria Math"/>
                <w:sz w:val="12"/>
                <w:szCs w:val="12"/>
                <w:lang w:val="ru-RU" w:eastAsia="ru-RU"/>
              </w:rPr>
              <w:t>:</w:t>
            </w:r>
          </w:p>
          <w:p w:rsidR="00B65D3C" w:rsidRPr="00B65D3C" w:rsidRDefault="00B65D3C" w:rsidP="00D41E99">
            <w:pPr>
              <w:spacing w:line="240" w:lineRule="auto"/>
              <w:contextualSpacing/>
              <w:jc w:val="both"/>
              <w:rPr>
                <w:rFonts w:ascii="GHEA Grapalat" w:hAnsi="GHEA Grapalat"/>
                <w:vanish/>
                <w:sz w:val="12"/>
                <w:szCs w:val="12"/>
                <w:lang w:val="ru-RU" w:eastAsia="ru-RU"/>
              </w:rPr>
            </w:pPr>
            <w:r w:rsidRPr="00B65D3C">
              <w:rPr>
                <w:rFonts w:ascii="GHEA Grapalat" w:hAnsi="GHEA Grapalat"/>
                <w:b/>
                <w:bCs/>
                <w:sz w:val="12"/>
                <w:szCs w:val="12"/>
                <w:lang w:val="ru-RU" w:eastAsia="ru-RU"/>
              </w:rPr>
              <w:t>ՀԱՏՈՒԿ ՊԱՀԱՆՋՆԵՐ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>: Սերվերային պահարանը, դրանում տեղակայվող վերևում նկարագրված բոլոր սարքավորումները՝ բացառությամբ անխափան սնուցման սարքից, պետք է լինեն գործարանային արտադրության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՝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</w:t>
            </w:r>
            <w:r w:rsidRPr="00B65D3C">
              <w:rPr>
                <w:rFonts w:ascii="GHEA Grapalat" w:hAnsi="GHEA Grapalat"/>
                <w:sz w:val="12"/>
                <w:szCs w:val="12"/>
                <w:lang w:eastAsia="ru-RU"/>
              </w:rPr>
              <w:t>նույն</w:t>
            </w:r>
            <w:r w:rsidRPr="00B65D3C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արտադրողի կողմից և ինտեգրացված լինեն որպես մեկ միասնական ծրագրաապարատային համիլիր համակարգ։ </w:t>
            </w:r>
          </w:p>
          <w:p w:rsidR="00B65D3C" w:rsidRPr="004B5AD2" w:rsidRDefault="00B65D3C" w:rsidP="00D41E99">
            <w:pPr>
              <w:spacing w:after="160" w:line="240" w:lineRule="auto"/>
              <w:contextualSpacing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Համակարգերի տեղադրումը և գործարկումը պետք է իրականացվի արտադրողի կողմից սերտիֆիկացված մասնագետների միջոցով: Համակարգը պետք է ներառի միացումներն իրականացնելու համար անհրաժեշտ բոլոր մալուխները և փոխարկիչները: Բոլոր սարքավորումների համար պետք է տրամադրվի արտադրողի ավտորիզացիոն նամակ (MAF)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կամ ՀՀ տարածքում արտոնագրված դիստրիբյուտորի ավտորիզացիոն նամակ (DAF)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: Բոլոր սարքավորումների համար պետք է տրամադրվի արտադրողի կողմից 3 տարվա տեխնիկական աջակցում՝ 24x7 ռեժիմում սերվիս-հայտ գրանցելու հնարավորությամբ, 4 ժամվա արձագանքման մաքսիմալ ժամանակահատվածով</w:t>
            </w:r>
            <w:r w:rsidR="000C7DB4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: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ՀՀ տարածքում արտոնագրված սերվիս կենտրոնի առկայությունը պարտադիր է, 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մասնակցի</w:t>
            </w:r>
            <w:r w:rsidRPr="00B65D3C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տվյալները պետք է նշված լինի արտադրողի վեբ-կայքում</w:t>
            </w:r>
          </w:p>
        </w:tc>
        <w:tc>
          <w:tcPr>
            <w:tcW w:w="103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5AD2" w:rsidRPr="004B5AD2" w:rsidRDefault="004B5AD2" w:rsidP="004B5AD2">
            <w:pPr>
              <w:pStyle w:val="TableParagraph"/>
              <w:ind w:left="108" w:right="96"/>
              <w:jc w:val="center"/>
              <w:rPr>
                <w:rFonts w:ascii="Tahoma"/>
                <w:spacing w:val="-2"/>
                <w:w w:val="105"/>
                <w:sz w:val="12"/>
                <w:szCs w:val="12"/>
              </w:rPr>
            </w:pPr>
            <w:r w:rsidRPr="004B5AD2">
              <w:rPr>
                <w:rFonts w:ascii="Tahoma"/>
                <w:w w:val="105"/>
                <w:sz w:val="12"/>
                <w:szCs w:val="12"/>
              </w:rPr>
              <w:lastRenderedPageBreak/>
              <w:t xml:space="preserve">HPE ProLiant </w:t>
            </w:r>
            <w:r w:rsidRPr="004B5AD2">
              <w:rPr>
                <w:rFonts w:ascii="Tahoma"/>
                <w:spacing w:val="-57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spacing w:val="-3"/>
                <w:w w:val="105"/>
                <w:sz w:val="12"/>
                <w:szCs w:val="12"/>
              </w:rPr>
              <w:t>DL560</w:t>
            </w:r>
            <w:r w:rsidRPr="004B5AD2">
              <w:rPr>
                <w:rFonts w:ascii="Tahoma"/>
                <w:spacing w:val="-11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spacing w:val="-2"/>
                <w:w w:val="105"/>
                <w:sz w:val="12"/>
                <w:szCs w:val="12"/>
              </w:rPr>
              <w:t>Gen10</w:t>
            </w:r>
          </w:p>
          <w:p w:rsidR="004B5AD2" w:rsidRPr="004B5AD2" w:rsidRDefault="004B5AD2" w:rsidP="004B5AD2">
            <w:pPr>
              <w:pStyle w:val="TableParagraph"/>
              <w:jc w:val="center"/>
              <w:rPr>
                <w:rFonts w:ascii="Tahoma"/>
                <w:w w:val="105"/>
                <w:sz w:val="12"/>
                <w:szCs w:val="12"/>
              </w:rPr>
            </w:pPr>
            <w:r w:rsidRPr="004B5AD2">
              <w:rPr>
                <w:rFonts w:ascii="Tahoma"/>
                <w:spacing w:val="-3"/>
                <w:w w:val="105"/>
                <w:sz w:val="12"/>
                <w:szCs w:val="12"/>
              </w:rPr>
              <w:t xml:space="preserve">HPE </w:t>
            </w:r>
            <w:r w:rsidRPr="004B5AD2">
              <w:rPr>
                <w:rFonts w:ascii="Tahoma"/>
                <w:spacing w:val="-2"/>
                <w:w w:val="105"/>
                <w:sz w:val="12"/>
                <w:szCs w:val="12"/>
              </w:rPr>
              <w:t>MSA</w:t>
            </w:r>
            <w:r w:rsidRPr="004B5AD2">
              <w:rPr>
                <w:rFonts w:ascii="Tahoma"/>
                <w:spacing w:val="-57"/>
                <w:w w:val="105"/>
                <w:sz w:val="12"/>
                <w:szCs w:val="12"/>
              </w:rPr>
              <w:t xml:space="preserve">                                 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1060</w:t>
            </w:r>
          </w:p>
          <w:p w:rsidR="004B5AD2" w:rsidRPr="004B5AD2" w:rsidRDefault="004B5AD2" w:rsidP="004B5AD2">
            <w:pPr>
              <w:pStyle w:val="TableParagraph"/>
              <w:jc w:val="center"/>
              <w:rPr>
                <w:rFonts w:ascii="Tahoma"/>
                <w:w w:val="105"/>
                <w:sz w:val="12"/>
                <w:szCs w:val="12"/>
              </w:rPr>
            </w:pPr>
            <w:r w:rsidRPr="004B5AD2">
              <w:rPr>
                <w:rFonts w:ascii="Tahoma"/>
                <w:spacing w:val="-1"/>
                <w:w w:val="105"/>
                <w:sz w:val="12"/>
                <w:szCs w:val="12"/>
              </w:rPr>
              <w:t>APC Smart-</w:t>
            </w:r>
            <w:r w:rsidRPr="004B5AD2">
              <w:rPr>
                <w:rFonts w:ascii="Tahoma"/>
                <w:spacing w:val="-57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UPS SRT</w:t>
            </w:r>
            <w:r w:rsidRPr="004B5AD2">
              <w:rPr>
                <w:rFonts w:ascii="Tahoma"/>
                <w:spacing w:val="1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8000 VA</w:t>
            </w:r>
            <w:r w:rsidRPr="004B5AD2">
              <w:rPr>
                <w:rFonts w:ascii="Tahoma"/>
                <w:spacing w:val="-4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RM 230V</w:t>
            </w:r>
            <w:r>
              <w:rPr>
                <w:rFonts w:ascii="Tahoma"/>
                <w:w w:val="105"/>
                <w:sz w:val="12"/>
                <w:szCs w:val="12"/>
              </w:rPr>
              <w:t xml:space="preserve"> 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HPE</w:t>
            </w:r>
            <w:r w:rsidRPr="004B5AD2">
              <w:rPr>
                <w:rFonts w:ascii="Tahoma"/>
                <w:spacing w:val="-11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42U</w:t>
            </w:r>
          </w:p>
          <w:p w:rsidR="004B5AD2" w:rsidRPr="004B5AD2" w:rsidRDefault="004B5AD2" w:rsidP="004B5AD2">
            <w:pPr>
              <w:pStyle w:val="TableParagraph"/>
              <w:jc w:val="center"/>
              <w:rPr>
                <w:rFonts w:ascii="Tahoma"/>
                <w:w w:val="105"/>
                <w:sz w:val="12"/>
                <w:szCs w:val="12"/>
              </w:rPr>
            </w:pPr>
            <w:r w:rsidRPr="004B5AD2">
              <w:rPr>
                <w:rFonts w:ascii="Tahoma"/>
                <w:spacing w:val="-4"/>
                <w:w w:val="105"/>
                <w:sz w:val="12"/>
                <w:szCs w:val="12"/>
              </w:rPr>
              <w:t xml:space="preserve">600 mm </w:t>
            </w:r>
            <w:r w:rsidRPr="004B5AD2">
              <w:rPr>
                <w:rFonts w:ascii="Tahoma"/>
                <w:spacing w:val="-3"/>
                <w:w w:val="105"/>
                <w:sz w:val="12"/>
                <w:szCs w:val="12"/>
              </w:rPr>
              <w:t>x</w:t>
            </w:r>
            <w:r w:rsidRPr="004B5AD2">
              <w:rPr>
                <w:rFonts w:ascii="Tahoma"/>
                <w:spacing w:val="-57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1075 mm</w:t>
            </w:r>
            <w:r w:rsidRPr="004B5AD2">
              <w:rPr>
                <w:rFonts w:ascii="Tahoma"/>
                <w:spacing w:val="-57"/>
                <w:w w:val="105"/>
                <w:sz w:val="12"/>
                <w:szCs w:val="12"/>
              </w:rPr>
              <w:t xml:space="preserve">                     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RACK HPE</w:t>
            </w:r>
            <w:r>
              <w:rPr>
                <w:rFonts w:ascii="Tahoma"/>
                <w:w w:val="105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HPE</w:t>
            </w:r>
          </w:p>
          <w:p w:rsidR="004B5AD2" w:rsidRPr="004B5AD2" w:rsidRDefault="004B5AD2" w:rsidP="004B5AD2">
            <w:pPr>
              <w:pStyle w:val="TableParagraph"/>
              <w:jc w:val="center"/>
              <w:rPr>
                <w:rFonts w:ascii="Tahoma"/>
                <w:w w:val="110"/>
                <w:sz w:val="12"/>
                <w:szCs w:val="12"/>
              </w:rPr>
            </w:pPr>
            <w:r>
              <w:rPr>
                <w:rFonts w:ascii="Tahoma"/>
                <w:w w:val="110"/>
                <w:sz w:val="12"/>
                <w:szCs w:val="12"/>
              </w:rPr>
              <w:t xml:space="preserve">APC </w:t>
            </w:r>
            <w:r w:rsidRPr="004B5AD2">
              <w:rPr>
                <w:rFonts w:ascii="Tahoma"/>
                <w:w w:val="105"/>
                <w:sz w:val="12"/>
                <w:szCs w:val="12"/>
              </w:rPr>
              <w:t>HPE</w:t>
            </w:r>
            <w:r w:rsidRPr="004B5AD2">
              <w:rPr>
                <w:rFonts w:ascii="Tahoma"/>
                <w:spacing w:val="-1"/>
                <w:sz w:val="12"/>
                <w:szCs w:val="12"/>
              </w:rPr>
              <w:t xml:space="preserve"> Hewlett Packard </w:t>
            </w:r>
            <w:r w:rsidRPr="004B5AD2">
              <w:rPr>
                <w:rFonts w:ascii="Tahoma"/>
                <w:spacing w:val="-54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sz w:val="12"/>
                <w:szCs w:val="12"/>
              </w:rPr>
              <w:t>Enterprise</w:t>
            </w:r>
          </w:p>
          <w:p w:rsidR="004B5AD2" w:rsidRPr="004B5AD2" w:rsidRDefault="004B5AD2" w:rsidP="004B5AD2">
            <w:pPr>
              <w:pStyle w:val="TableParagraph"/>
              <w:ind w:left="107" w:right="241"/>
              <w:jc w:val="center"/>
              <w:rPr>
                <w:rFonts w:ascii="Tahoma"/>
                <w:sz w:val="12"/>
                <w:szCs w:val="12"/>
              </w:rPr>
            </w:pPr>
            <w:r w:rsidRPr="004B5AD2">
              <w:rPr>
                <w:rFonts w:ascii="Tahoma"/>
                <w:spacing w:val="-1"/>
                <w:sz w:val="12"/>
                <w:szCs w:val="12"/>
              </w:rPr>
              <w:t xml:space="preserve">Hewlett Packard </w:t>
            </w:r>
            <w:r w:rsidRPr="004B5AD2">
              <w:rPr>
                <w:rFonts w:ascii="Tahoma"/>
                <w:spacing w:val="-54"/>
                <w:sz w:val="12"/>
                <w:szCs w:val="12"/>
              </w:rPr>
              <w:t xml:space="preserve"> </w:t>
            </w:r>
            <w:r>
              <w:rPr>
                <w:rFonts w:ascii="Tahoma"/>
                <w:sz w:val="12"/>
                <w:szCs w:val="12"/>
              </w:rPr>
              <w:t xml:space="preserve">Enterprise </w:t>
            </w:r>
            <w:r w:rsidRPr="004B5AD2">
              <w:rPr>
                <w:rFonts w:ascii="Tahoma"/>
                <w:w w:val="110"/>
                <w:sz w:val="12"/>
                <w:szCs w:val="12"/>
              </w:rPr>
              <w:t>APC</w:t>
            </w:r>
          </w:p>
          <w:p w:rsidR="004B5AD2" w:rsidRDefault="004B5AD2" w:rsidP="004B5AD2">
            <w:pPr>
              <w:contextualSpacing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</w:pPr>
            <w:r w:rsidRPr="004B5AD2">
              <w:rPr>
                <w:rFonts w:ascii="Tahoma"/>
                <w:spacing w:val="-1"/>
                <w:sz w:val="12"/>
                <w:szCs w:val="12"/>
              </w:rPr>
              <w:t xml:space="preserve">Hewlett Packard </w:t>
            </w:r>
            <w:r w:rsidRPr="004B5AD2">
              <w:rPr>
                <w:rFonts w:ascii="Tahoma"/>
                <w:spacing w:val="-54"/>
                <w:sz w:val="12"/>
                <w:szCs w:val="12"/>
              </w:rPr>
              <w:t xml:space="preserve"> </w:t>
            </w:r>
            <w:r w:rsidRPr="004B5AD2">
              <w:rPr>
                <w:rFonts w:ascii="Tahoma"/>
                <w:sz w:val="12"/>
                <w:szCs w:val="12"/>
              </w:rPr>
              <w:t>Enterprise</w:t>
            </w:r>
            <w:r w:rsidRPr="004B5AD2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  <w:t xml:space="preserve"> </w:t>
            </w:r>
          </w:p>
          <w:p w:rsidR="004B5AD2" w:rsidRPr="004B5AD2" w:rsidRDefault="004B5AD2" w:rsidP="004B5AD2">
            <w:pPr>
              <w:contextualSpacing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</w:pPr>
            <w:r w:rsidRPr="004B5AD2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eastAsia="ru-RU"/>
              </w:rPr>
              <w:t>ՍԵՐՎԵՐ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SPEC CPU®2017 Integer Rate արդյունքի գնահատականի համաձայն՝ առաջարկվող սերվերը CPU-ով ունի  489 հաշվարկ, CPU-երի քանակը –4, յուրաքանչյուր պրոցեսորի միջուկների քանակը-18. CPU-ն աշխատում է վաճառողի կողմից նշանակված հաճախականությամբ (2.6GHz), կազմակերպությունների կողմից համեմատական վերլուծությունների վավերացված գնահատման թեստերի պատճենները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կցված են անհրաժեշտ փաստաթղթերում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: 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RAM՝ 32 հատ 32GB (1x32GB) Dual Rank x4 DDR4-2933 CAS-21-21-21 Registered Smart Memory հիշողություն, HDD` 4 x 2.4TB SAS 12G Mission Critical 10K SFF SC 3-year Warranty 512e Multi Vendor HDD 2,5՛՛ և 4 x 960GB SAS 12G Mixed Use SFF SC Value SAS Multi Vendor SSD 2,5՛՛ դիսկեր, ընդհանուր առմամբ 8 հատ 2,5՛՛ ֆորմատի դիսկերի տեղակայման հնարավորությամբ, մայր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ական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սալիկի վրա ինտեգրված ցանցային քարտ՝ 4 x 1Gb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lastRenderedPageBreak/>
              <w:t>ինտերֆեյսերով FLR ֆորմատով և 2-port 10Gb SFP+ 57810S Adapter իր SFP+ օպտիկական մոդուլներով, ինտեգրված RAID hardware Controller 16 Lanes 4GB internal Cache հիշողությամբ մինչև 64 տրամաբանական հատորների կառավարում` SAS RAID:0/1/5/6/</w:t>
            </w:r>
            <w:r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10/50/60/1TP/10TP աջակցությամբ, SSD Accelerator Smart Path ֆունկցի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ներո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վ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, Read ahead Caching և Write-Back caching ֆունկցիաներով</w:t>
            </w:r>
            <w:r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,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սնուցման բլոկեր՝ Dual Hot Plug Power Supplies, նվազագույնը 800W, 96%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արդյունավետու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թյամբ, ներառված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են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սնուցման լարեր, UPS-ին միացնելու լարեր, Easy install Rail kit Cable Management Arm-ով: Ներառված են սերվերային Օպերացիոն Համակարգի լիցենզիաները համապատասխան քանակի՝ Microsoft Windows Server 2022 Std Edition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-ով:</w:t>
            </w:r>
          </w:p>
          <w:p w:rsidR="004B5AD2" w:rsidRPr="004B5AD2" w:rsidRDefault="004B5AD2" w:rsidP="004B5AD2">
            <w:pPr>
              <w:contextualSpacing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>ՏՎՅԱԼՆԵՐԻ ՊԱՀՊԱՆՄԱՆ ՀԱՄԱԿԱՐԳ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Տ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վյալների պահպանման համակարգ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(այսուհետ ՏՊՀ</w:t>
            </w:r>
            <w:proofErr w:type="gramStart"/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)՝</w:t>
            </w:r>
            <w:proofErr w:type="gramEnd"/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երկու կոնտրոլերով, որոնք աշխատում են “active – active” ռեժիմում և որոնցից յուրաքանչյուրը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ո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ւնի 12GB քեշ: Առաջարկվող ՏՊՀ-ն ունի SSD/Flash քեշ-ի աջակցություն:  Համակարգը աջակցում է 4ՏԲ ծավալի Flash քեշ։ Առաջարկվող ՏՊՀ-ի յուրաքանչյուր կոնտրոլերի ունի չորս 10Gb/s Base-T iSCSI պորտեր։ Առաջարկվող ՏՊՀ-ն ապահովում է բոլոր վերը նշված պորտերի աշխատանքը iSCSI պրոտոկոլով: Ներառում է 4 հատ 10Gb/s Base-T տրանսիվերներ, համապատասխան համակցման համար։ ՏՊՀ-ն հոսանքի կորստի դեպքում հասցնում է ապահովել քեշ մոդուլում պարունակվող տվյալների պահպանումը անժամկետ կամ 5 տարով՝ օգտագործելով ներքին մարտկոց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(battery) կամ կուտակիչ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(capacitor): Ապահովում է դիսկերի «hot plug» ընդլայնում, ինչպես նաև դիսկերի, կոնտրոլերների, հոսանքի սնուցման բլոկերի ու հովացման բլոկերի «hot» փոխարինում: 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Առաջարկվող ՏՊՀ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-ն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ունի RAID 1, Raid 10, Raid 5 և Raid 6 աջակցություն: Բոլոր raid-երի և Flash քեշի հետ աջակցվում է նաև “Thin Provisioning”: Առաջարկվող ՏՊՀ-ն ապահովում է 512 հատ LUN-ի աջակցություն: Ապահովում է 120TB չափ ունեցող LUN-երի աջակցություն: ՏՊՀ-ն աջակցում է  2.4TB ծավալով 10К Enterprise SAS սկավառակներ, 7.68TB ծավալով SSD կրիչներ և 20TB NL SAS 7.2К սկավառակներ: Բացի Flash քեշի համար նախատեսված SSD-ներից համակարգը պետք է ներառի 7 հատ 3.84ՏԲ (DWPD&gt;1) SFF SSD կրիչներ: 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Առաջարկվող ՏՊՀ-ն ունի FIPS 140-2 self-encrypted SAS և NL SAS դիսկերի աջակցություն: ՏՊՀ-ն  աջակցում է 96 հատ SFF տիպի սկավառակների կամ SSD-ների միացում: ՏՊՀ-ն աջակցում է վիրտուալիզացիայի տեխնոլոգիա, որը հնարավորություն է տալիս volume-ների տվյալները տեղաբաշխել մեկ դիսկային փուլի շրջանակում նույն տեսակի բոլոր սկավառակների միջև։ Դիսկային փուլը աջակցում է բո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լոր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վերը նշված raid-երը։ ՏՊՀ-ն աջակցում է «Sub Lun Tiering» տեխնոլոգիա, որը հնարավորություն է տալիս տվյալները ռեալ ժամանակում տեղաբաշխել մեկ դիսկային փուլի տարբեր տեսակի դիսկերի միջև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SSD, SAS, NL SAS)։ ՏՊՀ-ն ունի ներկառուցվածարտադրողականության ղեկավարման համակարգ։ 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lastRenderedPageBreak/>
              <w:t>Ղեկավարման վահանակը կարողանում է ցուցադրել համակարգի ընդհանուր IOPS և MB/sec արտադրողականությունը։ Պետք ունի “controller based Snapshot և clone” տեխնոլոգիաների աջակցություն: Ապահովում է 512 հատ snapshot ստեղծելու հնարավորություն (եթե տվյալ ֆունկցիոնալը ապահովելու համար անհրաժեշտ է լրացուցիչ լիցենզիա, ապա այն պետք է լինի ներառված)։ ՏՊՀ-ն տա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լիս է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Global Spare դիսկ կամ RAID խմբին կցված spare դիսկ կոնֆիգուրացնելու հնարավորություն: Ունի ռեպլիկացիայի աջակցություն: Ունի հնարավորություն ռեպլիակցնել նույն ընտանիքի ՏՊՀ-ներին միջև (եթե տվյալ ֆունկցիան ապահովելու համար անհրաժեշտ է լրացուցիչ լիցենզիա, ապա այն պետք է լինի ներառված)։ 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Աջակցում է Windows server 2016 / 2019 / 2022, Linux, Vmware և այլ օպերացիոն համակարգերը: Համակարգերի տեղադրումը և գործարկումը իրականացվում է սերտիֆիկացված մասնագետների կողմից: Համակարգը ներառում է միացումներն իրականացնելու համար անհրաժեշտ բոլոր մալուխները և փոխարկիչները: Բոլոր սարքավորումների համար առկա է արտադրողի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կողմից կ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տրամադրվի ավտորիզացիոն նամակ (MAF): Բոլոր սարքավորումների վրա տրամադրվում են արտադրողի կողմից 3 տարվա տեխ. աջակցում՝ 24x7 ռեժիմում սերվիս-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հայտ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գրանցելու հնարավորությամբ, 4 ժամվա արձագանքման մաքսիմալ ժամանակահատվածով: ՀՀ տարածքում արտոնագրված սերվիս կենտրոնի առկայությունը առկա է, դրանց տվյալները  նշված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են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արտադրողի վեբ-կայքում:  </w:t>
            </w:r>
          </w:p>
          <w:p w:rsidR="004B5AD2" w:rsidRPr="004B5AD2" w:rsidRDefault="004B5AD2" w:rsidP="004B5AD2">
            <w:pPr>
              <w:spacing w:after="0" w:line="240" w:lineRule="auto"/>
              <w:jc w:val="center"/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>ԱՆԽԱՓԱՆ ՍՆՈՒՑՄԱՆ ՍԱՐՔ</w:t>
            </w:r>
          </w:p>
          <w:p w:rsidR="004B5AD2" w:rsidRPr="004B5AD2" w:rsidRDefault="004B5AD2" w:rsidP="004B5AD2">
            <w:pPr>
              <w:spacing w:after="0" w:line="240" w:lineRule="auto"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8 կՎԱ online 6U դարակաշարային: UPS-ն ապահովում է մաքուր սինուս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ոիդ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ային ալիքի հզորություն և երկարատև աշխատանքային տևողություն՝ հոսանքի խափանումների ժամանակ կրիտիկական սարքավորումներին աջակցելու համար: Համալրված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Է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կոշտ մետաղալարով՝ 3-լար (1P+N+E)/5-լար (3P+N+E) մուտքով, 6x IEC 320 C13, 4x IEC 320 C19 վարդակներով և 3x IEC jumper մալուխներով: Rack/Tower convertible, որում ռելսերը ներառված են:</w:t>
            </w:r>
          </w:p>
          <w:p w:rsidR="004B5AD2" w:rsidRPr="004B5AD2" w:rsidRDefault="004B5AD2" w:rsidP="004B5AD2">
            <w:pPr>
              <w:spacing w:after="0" w:line="240" w:lineRule="auto"/>
              <w:jc w:val="both"/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UPS-ն ունի ներկառուցված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ց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անցի կառավարման քարտ՝ մոնիտորինգի և կառավարման համար: UPS-ը համալրված է PowerChute Network Shutdown-ով, որն ապահովում է ֆիզիկական սերվերների, վիրտուալ մեքենաների և HCI կլաստերների անջատում: Այն ունի լրացուցիչ SmartSlot քարտի  տեղ: UPS-ը հնարավորություն ունի միանալու EcoStruxure IT  կամ երրորդ կողմի կենտրոնացված կառավարման հարթակներին: Առնվազն 10 արտաքին մարտկոցնորի հավաքածուի տեղադրման հնարավորություն՝ հավելյալ ավտոնոմ աշխատանքի ժամանակի երկարաձգման հնարավորությամբ: UPS-ը ունի 3 տարվա երաշխիք, իսկ ներկառուցված կապարաթթվային մարտկոցը՝ 2 տարվա երաշխիք։ UPS ներառում է միացումներն իրականացնելու համար անհրաժեշտ բոլոր մալուխները և փոխարկիչները: Անխափան սնուցման սարքի համար կտրամադրվի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ՀՀ տարածքում արտոնագրված դիստրիբյուտորի ավտորիզացիոն նամակ (DAF)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>: ՀՀ տարածքում արտոնագրված սերվիս կենտրոնը առկա է, դրանց տվյալները նշված են արտադրողի վեբ-կայքում:</w:t>
            </w:r>
          </w:p>
          <w:p w:rsidR="004B5AD2" w:rsidRPr="004B5AD2" w:rsidRDefault="004B5AD2" w:rsidP="004B5AD2">
            <w:pPr>
              <w:spacing w:before="100" w:beforeAutospacing="1" w:line="256" w:lineRule="auto"/>
              <w:contextualSpacing/>
              <w:jc w:val="both"/>
              <w:rPr>
                <w:rFonts w:ascii="GHEA Grapalat" w:hAnsi="GHEA Grapalat" w:cs="Cambria Math"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  </w:t>
            </w:r>
            <w:r w:rsidRPr="004B5AD2">
              <w:rPr>
                <w:rFonts w:ascii="GHEA Grapalat" w:eastAsia="Calibri" w:hAnsi="GHEA Grapalat"/>
                <w:b/>
                <w:bCs/>
                <w:kern w:val="2"/>
                <w:sz w:val="12"/>
                <w:szCs w:val="12"/>
                <w:lang w:val="ru-RU" w:eastAsia="ru-RU"/>
              </w:rPr>
              <w:t xml:space="preserve">ՍԵՐՎԵՐԱՅԻՆ ՊԱՀԱՐԱՆ </w:t>
            </w:r>
            <w:r w:rsidRPr="004B5AD2">
              <w:rPr>
                <w:rFonts w:ascii="GHEA Grapalat" w:hAnsi="GHEA Grapalat"/>
                <w:b/>
                <w:bCs/>
                <w:sz w:val="12"/>
                <w:szCs w:val="12"/>
                <w:lang w:val="ru-RU" w:eastAsia="ru-RU"/>
              </w:rPr>
              <w:t>42U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,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գաբարիտային չափսերը (մմ)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lastRenderedPageBreak/>
              <w:t>2006(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բարձր.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>) x 1125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.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>2(խորութ-ն) x 597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.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8(լայն-ն), ստացիոնար վիճակում 1360 կգ բեռնելու հնարավորությամբ, դիմային և հետևի դռներով, կողային պանելներով, որոնք ունեն ընդհանուր բանալիով փական, հողանցման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լրակազմ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ով: Ապահովում են ֆայլում բերված սարքավորումների տեղադրումը,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որը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համապատասխանում է EIA Type A ստանդարտի 4.1.1 սեկցիայի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և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UL/CES, WEEE, RoHS պահանջներին: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Բ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ոլոր բաց սլոտերը, որոնցում սարքավորումներ տեղադրված չեն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պահարանի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դիմացի կողմից փակ են: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Այն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ներառում է երկու հատ ուղղահայաց 3.6VA 16A PDU, որոնցից յուրաքանչյուրը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 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>ունի 20 հատ C13 և 2 հատ C19 տիպի վարդակներ</w:t>
            </w:r>
            <w:r w:rsidRPr="004B5AD2">
              <w:rPr>
                <w:rFonts w:ascii="GHEA Grapalat" w:hAnsi="GHEA Grapalat" w:cs="Cambria Math"/>
                <w:sz w:val="12"/>
                <w:szCs w:val="12"/>
                <w:lang w:val="ru-RU" w:eastAsia="ru-RU"/>
              </w:rPr>
              <w:t>:</w:t>
            </w:r>
          </w:p>
          <w:p w:rsidR="004B5AD2" w:rsidRPr="004B5AD2" w:rsidRDefault="004B5AD2" w:rsidP="004B5AD2">
            <w:pPr>
              <w:contextualSpacing/>
              <w:jc w:val="both"/>
              <w:rPr>
                <w:rFonts w:ascii="GHEA Grapalat" w:hAnsi="GHEA Grapalat"/>
                <w:vanish/>
                <w:sz w:val="12"/>
                <w:szCs w:val="12"/>
                <w:lang w:val="ru-RU" w:eastAsia="ru-RU"/>
              </w:rPr>
            </w:pPr>
            <w:r w:rsidRPr="004B5AD2">
              <w:rPr>
                <w:rFonts w:ascii="GHEA Grapalat" w:hAnsi="GHEA Grapalat"/>
                <w:b/>
                <w:bCs/>
                <w:sz w:val="12"/>
                <w:szCs w:val="12"/>
                <w:lang w:val="ru-RU" w:eastAsia="ru-RU"/>
              </w:rPr>
              <w:t>ՀԱՏՈՒԿ ՊԱՀԱՆՋՆԵՐ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>: Սերվերային պահարանը, դրանում տեղակայվող վերևում նկարագրված բոլոր սարքավորումները՝ բացառությամբ անխափան սնուցման սարքից, գործարանային արտադրության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 xml:space="preserve"> են՝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</w:t>
            </w:r>
            <w:r w:rsidRPr="004B5AD2">
              <w:rPr>
                <w:rFonts w:ascii="GHEA Grapalat" w:hAnsi="GHEA Grapalat"/>
                <w:sz w:val="12"/>
                <w:szCs w:val="12"/>
                <w:lang w:eastAsia="ru-RU"/>
              </w:rPr>
              <w:t>նույն</w:t>
            </w:r>
            <w:r w:rsidRPr="004B5AD2">
              <w:rPr>
                <w:rFonts w:ascii="GHEA Grapalat" w:hAnsi="GHEA Grapalat"/>
                <w:sz w:val="12"/>
                <w:szCs w:val="12"/>
                <w:lang w:val="ru-RU" w:eastAsia="ru-RU"/>
              </w:rPr>
              <w:t xml:space="preserve"> արտադրողի կողմից և ինտեգրացված են որպես մեկ միասնական ծրագրաապարատային համիլիր համակարգ։ </w:t>
            </w:r>
          </w:p>
          <w:p w:rsidR="00753596" w:rsidRPr="004B5AD2" w:rsidRDefault="004B5AD2" w:rsidP="004B5AD2">
            <w:pPr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 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Համակարգերի տեղադրումը և գործարկումը իրականացվում է արտադրողի կողմից սերտիֆիկացված մասնագետների միջոցով: Համակարգը ներառում է միացումներն իրականացնելու համար անհրաժեշտ բոլոր մալուխները և փոխարկիչները: Բոլոր սարքավորումների համար տրամադրվում է արտադրողի ավտորիզացիոն նամակ (MAF): Բոլոր սարքավորումների համար պետք է տրամադրվի արտադրողի կողմից 3 տարվա տեխնիկական աջակցում՝ 24x7 ռեժիմում սերվիս-հայտ գրանցելու հնարավորությամբ, 4 ժամվա արձագանքման մաքսիմալ ժամանակահատվածով: ՀՀ տարածքում արտոնագրված սերվիս կենտրոնը առկա է, 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>մասնակցի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տվյալները նշված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eastAsia="ru-RU"/>
              </w:rPr>
              <w:t xml:space="preserve"> են</w:t>
            </w:r>
            <w:r w:rsidRPr="004B5AD2">
              <w:rPr>
                <w:rFonts w:ascii="GHEA Grapalat" w:eastAsia="Calibri" w:hAnsi="GHEA Grapalat"/>
                <w:kern w:val="2"/>
                <w:sz w:val="12"/>
                <w:szCs w:val="12"/>
                <w:lang w:val="ru-RU" w:eastAsia="ru-RU"/>
              </w:rPr>
              <w:t xml:space="preserve"> լինի արտադրողի վեբ-կայքում:</w:t>
            </w:r>
          </w:p>
        </w:tc>
      </w:tr>
    </w:tbl>
    <w:p w:rsidR="00ED3F7E" w:rsidRPr="0051712A" w:rsidRDefault="00ED3F7E" w:rsidP="008B2A11">
      <w:pPr>
        <w:spacing w:after="0" w:line="240" w:lineRule="auto"/>
        <w:rPr>
          <w:rFonts w:ascii="Times Armenian" w:eastAsia="Times New Roman" w:hAnsi="Times Armenian" w:cs="Times New Roman"/>
          <w:sz w:val="12"/>
          <w:szCs w:val="1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31"/>
        <w:gridCol w:w="96"/>
        <w:gridCol w:w="992"/>
        <w:gridCol w:w="806"/>
        <w:gridCol w:w="318"/>
        <w:gridCol w:w="7"/>
        <w:gridCol w:w="47"/>
        <w:gridCol w:w="367"/>
        <w:gridCol w:w="833"/>
        <w:gridCol w:w="338"/>
        <w:gridCol w:w="253"/>
        <w:gridCol w:w="325"/>
        <w:gridCol w:w="488"/>
        <w:gridCol w:w="269"/>
        <w:gridCol w:w="105"/>
        <w:gridCol w:w="76"/>
        <w:gridCol w:w="114"/>
        <w:gridCol w:w="694"/>
        <w:gridCol w:w="383"/>
        <w:gridCol w:w="788"/>
        <w:gridCol w:w="278"/>
        <w:gridCol w:w="506"/>
        <w:gridCol w:w="300"/>
        <w:gridCol w:w="676"/>
        <w:gridCol w:w="316"/>
        <w:gridCol w:w="358"/>
        <w:gridCol w:w="464"/>
      </w:tblGrid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8B2A1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ED3F7E" w:rsidRPr="0051712A" w:rsidTr="00B20FB6">
        <w:trPr>
          <w:trHeight w:val="20"/>
          <w:jc w:val="center"/>
        </w:trPr>
        <w:tc>
          <w:tcPr>
            <w:tcW w:w="932" w:type="pct"/>
            <w:gridSpan w:val="4"/>
            <w:shd w:val="clear" w:color="auto" w:fill="auto"/>
            <w:vAlign w:val="center"/>
          </w:tcPr>
          <w:p w:rsidR="00ED3F7E" w:rsidRPr="0051712A" w:rsidRDefault="00ED3F7E" w:rsidP="008B2A11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Գնման</w:t>
            </w:r>
            <w:r w:rsidR="000A51DF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ընթացակարգի</w:t>
            </w:r>
            <w:r w:rsidR="00A15837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4068" w:type="pct"/>
            <w:gridSpan w:val="24"/>
            <w:shd w:val="clear" w:color="auto" w:fill="auto"/>
            <w:vAlign w:val="center"/>
          </w:tcPr>
          <w:p w:rsidR="00ED3F7E" w:rsidRPr="0051712A" w:rsidRDefault="00ED3F7E" w:rsidP="008B2A11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Քանի որ ՀՀ ՊՆ կար</w:t>
            </w:r>
            <w:r w:rsidR="003A44DD"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իքների համար նշված </w:t>
            </w:r>
            <w:r w:rsidR="003A44DD"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ծառայությունների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 գնման գինը չի գերազանցում գնումների բազային միավորի </w:t>
            </w:r>
            <w:r w:rsidR="00FC257D"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ութսուն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3523F" w:rsidRPr="0051712A" w:rsidTr="00B20FB6">
        <w:trPr>
          <w:trHeight w:val="20"/>
          <w:jc w:val="center"/>
        </w:trPr>
        <w:tc>
          <w:tcPr>
            <w:tcW w:w="93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</w:p>
        </w:tc>
        <w:tc>
          <w:tcPr>
            <w:tcW w:w="728" w:type="pct"/>
            <w:gridSpan w:val="7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Բյուջե </w:t>
            </w:r>
          </w:p>
        </w:tc>
        <w:tc>
          <w:tcPr>
            <w:tcW w:w="577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</w:p>
        </w:tc>
      </w:tr>
      <w:tr w:rsidR="00A3523F" w:rsidRPr="0051712A" w:rsidTr="00B20FB6">
        <w:trPr>
          <w:trHeight w:val="20"/>
          <w:jc w:val="center"/>
        </w:trPr>
        <w:tc>
          <w:tcPr>
            <w:tcW w:w="93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28" w:type="pct"/>
            <w:gridSpan w:val="7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</w:p>
        </w:tc>
        <w:tc>
          <w:tcPr>
            <w:tcW w:w="577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ED3F7E" w:rsidRPr="0051712A" w:rsidRDefault="0087239C" w:rsidP="0087239C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r w:rsidRPr="0017027F">
              <w:rPr>
                <w:rFonts w:ascii="GHEA Grapalat" w:hAnsi="GHEA Grapalat"/>
                <w:sz w:val="14"/>
                <w:szCs w:val="14"/>
              </w:rPr>
              <w:t xml:space="preserve">Գնման համար ֆինանսական միջոցները ներառված </w:t>
            </w:r>
            <w:proofErr w:type="gramStart"/>
            <w:r w:rsidRPr="0017027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են  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</w:rPr>
              <w:t>ՀՀ</w:t>
            </w:r>
            <w:proofErr w:type="gramEnd"/>
            <w:r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</w:rPr>
              <w:t>կառ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. 29.12.2022թ. N 2111-Ն որոշման մեջ:</w:t>
            </w:r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Ծանուցում </w:t>
            </w:r>
            <w:r w:rsidR="0095368C"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N</w:t>
            </w:r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16-ՊՆ 22.03.2023</w:t>
            </w:r>
            <w:r w:rsidR="0095368C"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թ</w:t>
            </w:r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., Ծանուցում </w:t>
            </w:r>
            <w:r w:rsidR="0095368C"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N</w:t>
            </w:r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21-ՊՆ </w:t>
            </w:r>
            <w:proofErr w:type="gramStart"/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29.03.2023</w:t>
            </w:r>
            <w:r w:rsidR="0095368C"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թ</w:t>
            </w:r>
            <w:r w:rsidR="0095368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.,</w:t>
            </w:r>
            <w:proofErr w:type="gramEnd"/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ED3F7E" w:rsidRPr="0051712A" w:rsidTr="00B20FB6">
        <w:trPr>
          <w:trHeight w:val="20"/>
          <w:jc w:val="center"/>
        </w:trPr>
        <w:tc>
          <w:tcPr>
            <w:tcW w:w="2822" w:type="pct"/>
            <w:gridSpan w:val="17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հրապարակելու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2178" w:type="pct"/>
            <w:gridSpan w:val="11"/>
            <w:shd w:val="clear" w:color="auto" w:fill="auto"/>
            <w:vAlign w:val="center"/>
          </w:tcPr>
          <w:p w:rsidR="00ED3F7E" w:rsidRPr="0087239C" w:rsidRDefault="00B72FE3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17.04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</w:t>
            </w:r>
            <w:r w:rsidR="00ED3F7E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A3523F" w:rsidRPr="0051712A" w:rsidTr="00D26699">
        <w:trPr>
          <w:trHeight w:val="20"/>
          <w:jc w:val="center"/>
        </w:trPr>
        <w:tc>
          <w:tcPr>
            <w:tcW w:w="2741" w:type="pct"/>
            <w:gridSpan w:val="15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u w:val="single"/>
                <w:lang w:val="hy-AM"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44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817" w:type="pct"/>
            <w:gridSpan w:val="9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51712A" w:rsidTr="00C20C26">
        <w:trPr>
          <w:trHeight w:val="329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ED3F7E" w:rsidRPr="0051712A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val="hy-AM" w:eastAsia="ru-RU"/>
                    </w:rPr>
                    <w:t>Հրավերի վերաբերյալ պարզաբանումն</w:t>
                  </w: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  <w:t>երի ամսաթիվը</w:t>
                  </w: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Հարցարդման ստացման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Պարզաբանման</w:t>
                  </w:r>
                </w:p>
              </w:tc>
            </w:tr>
            <w:tr w:rsidR="002B5E97" w:rsidRPr="0051712A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51712A" w:rsidRDefault="00B72FE3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>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51712A" w:rsidRDefault="00B72FE3" w:rsidP="007620FE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 xml:space="preserve">        -</w:t>
                  </w:r>
                </w:p>
              </w:tc>
            </w:tr>
          </w:tbl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A3523F" w:rsidRPr="00ED3F7E" w:rsidTr="00B20FB6">
        <w:trPr>
          <w:trHeight w:val="20"/>
          <w:jc w:val="center"/>
        </w:trPr>
        <w:tc>
          <w:tcPr>
            <w:tcW w:w="446" w:type="pct"/>
            <w:gridSpan w:val="2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12" w:type="pct"/>
            <w:gridSpan w:val="6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 անվանումները</w:t>
            </w:r>
          </w:p>
        </w:tc>
        <w:tc>
          <w:tcPr>
            <w:tcW w:w="3542" w:type="pct"/>
            <w:gridSpan w:val="20"/>
            <w:shd w:val="clear" w:color="auto" w:fill="auto"/>
            <w:vAlign w:val="center"/>
          </w:tcPr>
          <w:p w:rsidR="00ED3F7E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՝ ներառյալ միաժամանակյա բանակցությունների կազմակերպման արդյունքում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</w:p>
        </w:tc>
      </w:tr>
      <w:tr w:rsidR="00A3523F" w:rsidRPr="00ED3F7E" w:rsidTr="00B20FB6">
        <w:trPr>
          <w:trHeight w:val="20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2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542" w:type="pct"/>
            <w:gridSpan w:val="20"/>
            <w:shd w:val="clear" w:color="auto" w:fill="auto"/>
            <w:vAlign w:val="center"/>
          </w:tcPr>
          <w:p w:rsidR="00ED3F7E" w:rsidRPr="00230243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</w:p>
        </w:tc>
      </w:tr>
      <w:tr w:rsidR="00A3523F" w:rsidRPr="00ED3F7E" w:rsidTr="00B20FB6">
        <w:trPr>
          <w:trHeight w:val="161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2" w:type="pct"/>
            <w:gridSpan w:val="6"/>
            <w:vMerge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 առանց ԱԱՀ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 w:val="restart"/>
            <w:shd w:val="clear" w:color="auto" w:fill="auto"/>
            <w:vAlign w:val="center"/>
          </w:tcPr>
          <w:p w:rsidR="00B20FB6" w:rsidRPr="00B20FB6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20FB6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20 897 500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4 179 500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25 077 000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B20FB6" w:rsidRPr="00B20FB6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«Միկրորինգ»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19 695 000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3 939 000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23 634 000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B20FB6" w:rsidRPr="00B20FB6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«ՋԻ ԷՄ ՊՐՈ»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18 947 000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3 789 400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22 736 400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 w:val="restart"/>
            <w:shd w:val="clear" w:color="auto" w:fill="auto"/>
            <w:vAlign w:val="center"/>
          </w:tcPr>
          <w:p w:rsidR="00B20FB6" w:rsidRPr="00B20FB6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20FB6">
              <w:rPr>
                <w:rFonts w:ascii="GHEA Grapalat" w:hAnsi="GHEA Grapalat" w:cs="Sylfaen"/>
                <w:b/>
                <w:sz w:val="12"/>
                <w:szCs w:val="12"/>
              </w:rPr>
              <w:t>Չափաբաժին 2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63 500 000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12 700 000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76 200 000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B20FB6" w:rsidRPr="00834B9A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«Բի Լայն»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62 416 670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12 483 334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74 900 004</w:t>
            </w:r>
          </w:p>
        </w:tc>
      </w:tr>
      <w:tr w:rsidR="00B20FB6" w:rsidRPr="00ED3F7E" w:rsidTr="00B20FB6">
        <w:trPr>
          <w:trHeight w:val="179"/>
          <w:jc w:val="center"/>
        </w:trPr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B20FB6" w:rsidRPr="00834B9A" w:rsidRDefault="00B20FB6" w:rsidP="00B20FB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«ՀԷՔՍԱԴԱ» ՍՊԸ</w:t>
            </w:r>
          </w:p>
        </w:tc>
        <w:tc>
          <w:tcPr>
            <w:tcW w:w="1364" w:type="pct"/>
            <w:gridSpan w:val="9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63 000 000</w:t>
            </w:r>
          </w:p>
        </w:tc>
        <w:tc>
          <w:tcPr>
            <w:tcW w:w="1008" w:type="pct"/>
            <w:gridSpan w:val="5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12 600 000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B20FB6" w:rsidRPr="00B20FB6" w:rsidRDefault="00B20FB6" w:rsidP="00B20FB6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75 600 000</w:t>
            </w:r>
          </w:p>
        </w:tc>
      </w:tr>
      <w:tr w:rsidR="00A3523F" w:rsidRPr="00DE4540" w:rsidTr="00B20FB6">
        <w:trPr>
          <w:trHeight w:val="20"/>
          <w:jc w:val="center"/>
        </w:trPr>
        <w:tc>
          <w:tcPr>
            <w:tcW w:w="932" w:type="pct"/>
            <w:gridSpan w:val="4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4068" w:type="pct"/>
            <w:gridSpan w:val="24"/>
            <w:shd w:val="clear" w:color="auto" w:fill="auto"/>
            <w:vAlign w:val="center"/>
          </w:tcPr>
          <w:p w:rsidR="00D215F5" w:rsidRPr="005D5903" w:rsidRDefault="00E51A72" w:rsidP="00F732A7">
            <w:pPr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Բանակցություններ չեն վարվել:</w:t>
            </w:r>
            <w:r w:rsidR="00D972F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="005D5903" w:rsidRPr="00B20FB6">
              <w:rPr>
                <w:rFonts w:ascii="GHEA Grapalat" w:hAnsi="GHEA Grapalat" w:cs="Sylfaen"/>
                <w:sz w:val="14"/>
                <w:szCs w:val="14"/>
                <w:lang w:val="es-ES"/>
              </w:rPr>
              <w:t>«ՋԻ ԷՄ ՊՐՈ» ՍՊԸ</w:t>
            </w:r>
            <w:r w:rsidR="005D5903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-ի հետ փոխադարձ համաձայնությամբ </w:t>
            </w:r>
            <w:r w:rsidR="005D5903" w:rsidRPr="00EF504A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ԳՀԱՊՁԲ-</w:t>
            </w:r>
            <w:r w:rsidR="005D5903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23-1/4</w:t>
            </w:r>
            <w:r w:rsidR="005D5903" w:rsidRPr="00EF504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-1</w:t>
            </w:r>
            <w:r w:rsidR="005D5903">
              <w:rPr>
                <w:rFonts w:ascii="GHEA Grapalat" w:hAnsi="GHEA Grapalat"/>
                <w:color w:val="FF0000"/>
                <w:sz w:val="14"/>
                <w:szCs w:val="14"/>
              </w:rPr>
              <w:t xml:space="preserve"> ծածկագրով գնման պայմանագիրը 50-դրամով պակաս է կնքվում, որպեսզի այն հնարավոր լինի մուտքագրել համակարգ: </w:t>
            </w: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A3523F" w:rsidRPr="00ED3F7E" w:rsidTr="00B20FB6">
        <w:trPr>
          <w:trHeight w:val="183"/>
          <w:jc w:val="center"/>
        </w:trPr>
        <w:tc>
          <w:tcPr>
            <w:tcW w:w="489" w:type="pct"/>
            <w:gridSpan w:val="3"/>
            <w:vMerge w:val="restar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 համարը</w:t>
            </w:r>
          </w:p>
        </w:tc>
        <w:tc>
          <w:tcPr>
            <w:tcW w:w="443" w:type="pct"/>
            <w:vMerge w:val="restar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 անվանումը</w:t>
            </w:r>
          </w:p>
        </w:tc>
        <w:tc>
          <w:tcPr>
            <w:tcW w:w="4068" w:type="pct"/>
            <w:gridSpan w:val="2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(բավարար կամ անբավարար)</w:t>
            </w:r>
          </w:p>
        </w:tc>
      </w:tr>
      <w:tr w:rsidR="00E06898" w:rsidRPr="00ED3F7E" w:rsidTr="00D26699">
        <w:trPr>
          <w:trHeight w:val="469"/>
          <w:jc w:val="center"/>
        </w:trPr>
        <w:tc>
          <w:tcPr>
            <w:tcW w:w="489" w:type="pct"/>
            <w:gridSpan w:val="3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3" w:type="pct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690" w:type="pct"/>
            <w:gridSpan w:val="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523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643" w:type="pct"/>
            <w:gridSpan w:val="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566" w:type="pct"/>
            <w:gridSpan w:val="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 գործունեություն</w:t>
            </w:r>
          </w:p>
        </w:tc>
        <w:tc>
          <w:tcPr>
            <w:tcW w:w="352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 փորձառությունը</w:t>
            </w:r>
          </w:p>
        </w:tc>
        <w:tc>
          <w:tcPr>
            <w:tcW w:w="484" w:type="pct"/>
            <w:gridSpan w:val="3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 միջոցներ</w:t>
            </w:r>
          </w:p>
        </w:tc>
        <w:tc>
          <w:tcPr>
            <w:tcW w:w="302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 միջոցներ</w:t>
            </w:r>
          </w:p>
        </w:tc>
        <w:tc>
          <w:tcPr>
            <w:tcW w:w="301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 ռեսուրսներ</w:t>
            </w:r>
          </w:p>
        </w:tc>
        <w:tc>
          <w:tcPr>
            <w:tcW w:w="207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 առաջարկ</w:t>
            </w:r>
          </w:p>
        </w:tc>
      </w:tr>
      <w:tr w:rsidR="0021471F" w:rsidRPr="00ED3F7E" w:rsidTr="00C20C26">
        <w:trPr>
          <w:trHeight w:val="143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1C0314" w:rsidRDefault="001C0314" w:rsidP="001C0314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nb-NO"/>
              </w:rPr>
            </w:pP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</w:t>
            </w:r>
            <w:r w:rsidRPr="001C0314">
              <w:rPr>
                <w:rFonts w:ascii="GHEA Grapalat" w:hAnsi="GHEA Grapalat"/>
                <w:color w:val="FF0000"/>
                <w:sz w:val="14"/>
                <w:szCs w:val="14"/>
              </w:rPr>
              <w:t>ՀԷՔՍԱԴԱ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» ՍՊԸ-ի կողմից ներկայացված հայտը </w:t>
            </w:r>
            <w:r w:rsidRPr="001C0314">
              <w:rPr>
                <w:rFonts w:ascii="GHEA Grapalat" w:hAnsi="GHEA Grapalat"/>
                <w:sz w:val="14"/>
                <w:szCs w:val="14"/>
                <w:lang w:val="hy-AM"/>
              </w:rPr>
              <w:t>գնահատող հանձնաժողով</w:t>
            </w:r>
            <w:r w:rsidRPr="001C0314">
              <w:rPr>
                <w:rFonts w:ascii="GHEA Grapalat" w:hAnsi="GHEA Grapalat"/>
                <w:sz w:val="14"/>
                <w:szCs w:val="14"/>
              </w:rPr>
              <w:t xml:space="preserve">ը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մերժեց՝</w:t>
            </w:r>
            <w:r w:rsidRPr="001C0314">
              <w:rPr>
                <w:rFonts w:ascii="GHEA Grapalat" w:hAnsi="GHEA Grapalat"/>
                <w:sz w:val="14"/>
                <w:szCs w:val="14"/>
                <w:lang w:val="hy-AM"/>
              </w:rPr>
              <w:t xml:space="preserve"> գնահատելով այն </w:t>
            </w:r>
            <w:r w:rsidRPr="001C0314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«ՀՀ ՊՆ-ԳՀԱՊՁԲ-23-1/2»</w:t>
            </w:r>
            <w:r w:rsidRPr="001C0314">
              <w:rPr>
                <w:rFonts w:ascii="GHEA Grapalat" w:hAnsi="GHEA Grapalat"/>
                <w:sz w:val="14"/>
                <w:szCs w:val="14"/>
                <w:lang w:val="hy-AM"/>
              </w:rPr>
              <w:t xml:space="preserve"> ծածկագրով ընթացակարգի հրավերի պահանջներին </w:t>
            </w:r>
            <w:r w:rsidRPr="001C0314">
              <w:rPr>
                <w:rFonts w:ascii="GHEA Grapalat" w:hAnsi="GHEA Grapalat"/>
                <w:sz w:val="14"/>
                <w:szCs w:val="14"/>
              </w:rPr>
              <w:t>չ</w:t>
            </w:r>
            <w:r w:rsidRPr="001C0314">
              <w:rPr>
                <w:rFonts w:ascii="GHEA Grapalat" w:hAnsi="GHEA Grapalat"/>
                <w:sz w:val="14"/>
                <w:szCs w:val="14"/>
                <w:lang w:val="hy-AM"/>
              </w:rPr>
              <w:t>համապատասխանող</w:t>
            </w:r>
            <w:r w:rsidRPr="001C0314">
              <w:rPr>
                <w:rFonts w:ascii="GHEA Grapalat" w:hAnsi="GHEA Grapalat"/>
                <w:sz w:val="14"/>
                <w:szCs w:val="14"/>
              </w:rPr>
              <w:t xml:space="preserve">, քանի որ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Մասնակցի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հայտը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ենթակա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է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մերժման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,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եթե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դրանում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բացակայում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է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հայտի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ապահովումը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,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կամ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եթե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այն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ներկայացված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է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հրավերի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պահանջներին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 xml:space="preserve"> 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ru-RU"/>
              </w:rPr>
              <w:t>անհամապատասխան</w:t>
            </w:r>
            <w:r w:rsidRPr="001C0314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:</w:t>
            </w:r>
          </w:p>
        </w:tc>
      </w:tr>
      <w:tr w:rsidR="0021471F" w:rsidRPr="00ED3F7E" w:rsidTr="00B20FB6">
        <w:trPr>
          <w:trHeight w:val="134"/>
          <w:jc w:val="center"/>
        </w:trPr>
        <w:tc>
          <w:tcPr>
            <w:tcW w:w="932" w:type="pct"/>
            <w:gridSpan w:val="4"/>
            <w:shd w:val="clear" w:color="auto" w:fill="99CCFF"/>
            <w:vAlign w:val="center"/>
          </w:tcPr>
          <w:p w:rsidR="0021471F" w:rsidRPr="009C6882" w:rsidRDefault="0021471F" w:rsidP="002147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 տեղեկություններ</w:t>
            </w:r>
          </w:p>
        </w:tc>
        <w:tc>
          <w:tcPr>
            <w:tcW w:w="4068" w:type="pct"/>
            <w:gridSpan w:val="24"/>
            <w:shd w:val="clear" w:color="auto" w:fill="99CCFF"/>
            <w:vAlign w:val="center"/>
          </w:tcPr>
          <w:p w:rsidR="0021471F" w:rsidRPr="009C6882" w:rsidRDefault="0021471F" w:rsidP="00822F0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21471F" w:rsidRPr="00ED3F7E" w:rsidTr="00B20FB6">
        <w:trPr>
          <w:trHeight w:val="20"/>
          <w:jc w:val="center"/>
        </w:trPr>
        <w:tc>
          <w:tcPr>
            <w:tcW w:w="2741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>Ընտրված մասնակցի որոշման ամսաթիվը</w:t>
            </w:r>
          </w:p>
        </w:tc>
        <w:tc>
          <w:tcPr>
            <w:tcW w:w="2259" w:type="pct"/>
            <w:gridSpan w:val="13"/>
            <w:shd w:val="clear" w:color="auto" w:fill="auto"/>
            <w:vAlign w:val="center"/>
          </w:tcPr>
          <w:p w:rsidR="0021471F" w:rsidRPr="00CA26DA" w:rsidRDefault="00D972F7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03.05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21471F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A3523F" w:rsidRPr="00ED3F7E" w:rsidTr="00B20FB6">
        <w:trPr>
          <w:trHeight w:val="206"/>
          <w:jc w:val="center"/>
        </w:trPr>
        <w:tc>
          <w:tcPr>
            <w:tcW w:w="2741" w:type="pct"/>
            <w:gridSpan w:val="15"/>
            <w:vMerge w:val="restart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1089" w:type="pct"/>
            <w:gridSpan w:val="7"/>
            <w:shd w:val="clear" w:color="auto" w:fill="auto"/>
            <w:vAlign w:val="center"/>
          </w:tcPr>
          <w:p w:rsidR="0021471F" w:rsidRPr="00CA26D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21471F" w:rsidRPr="00CA26DA" w:rsidRDefault="00A966BC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</w:t>
            </w:r>
            <w:r w:rsidR="0021471F"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862978" w:rsidRPr="00ED3F7E" w:rsidTr="00B20FB6">
        <w:trPr>
          <w:trHeight w:val="20"/>
          <w:jc w:val="center"/>
        </w:trPr>
        <w:tc>
          <w:tcPr>
            <w:tcW w:w="2741" w:type="pct"/>
            <w:gridSpan w:val="15"/>
            <w:vMerge/>
            <w:shd w:val="clear" w:color="auto" w:fill="auto"/>
            <w:vAlign w:val="center"/>
          </w:tcPr>
          <w:p w:rsidR="00862978" w:rsidRPr="00ED3F7E" w:rsidRDefault="00862978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</w:p>
        </w:tc>
        <w:tc>
          <w:tcPr>
            <w:tcW w:w="1089" w:type="pct"/>
            <w:gridSpan w:val="7"/>
            <w:shd w:val="clear" w:color="auto" w:fill="auto"/>
            <w:vAlign w:val="center"/>
          </w:tcPr>
          <w:p w:rsidR="00862978" w:rsidRPr="00CA26DA" w:rsidRDefault="00D972F7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05.05</w:t>
            </w:r>
            <w:r w:rsidR="00862978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862978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70" w:type="pct"/>
            <w:gridSpan w:val="6"/>
            <w:shd w:val="clear" w:color="auto" w:fill="auto"/>
            <w:vAlign w:val="center"/>
          </w:tcPr>
          <w:p w:rsidR="00862978" w:rsidRPr="00CA26DA" w:rsidRDefault="00D972F7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14.05</w:t>
            </w:r>
            <w:r w:rsidR="00862978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862978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B20FB6">
        <w:trPr>
          <w:trHeight w:val="20"/>
          <w:jc w:val="center"/>
        </w:trPr>
        <w:tc>
          <w:tcPr>
            <w:tcW w:w="2741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259" w:type="pct"/>
            <w:gridSpan w:val="13"/>
            <w:shd w:val="clear" w:color="auto" w:fill="auto"/>
            <w:vAlign w:val="bottom"/>
          </w:tcPr>
          <w:p w:rsidR="0021471F" w:rsidRPr="00CA26DA" w:rsidRDefault="00D972F7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18.05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87239C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B20FB6">
        <w:trPr>
          <w:trHeight w:val="20"/>
          <w:jc w:val="center"/>
        </w:trPr>
        <w:tc>
          <w:tcPr>
            <w:tcW w:w="2741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259" w:type="pct"/>
            <w:gridSpan w:val="13"/>
            <w:shd w:val="clear" w:color="auto" w:fill="auto"/>
            <w:vAlign w:val="center"/>
          </w:tcPr>
          <w:p w:rsidR="0021471F" w:rsidRPr="00D405B6" w:rsidRDefault="00D405B6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29</w:t>
            </w:r>
            <w:r w:rsidR="002656B5"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.05</w:t>
            </w:r>
            <w:r w:rsidR="0087239C"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87239C" w:rsidRPr="00D405B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B20FB6">
        <w:trPr>
          <w:trHeight w:val="197"/>
          <w:jc w:val="center"/>
        </w:trPr>
        <w:tc>
          <w:tcPr>
            <w:tcW w:w="2741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259" w:type="pct"/>
            <w:gridSpan w:val="13"/>
            <w:shd w:val="clear" w:color="auto" w:fill="auto"/>
            <w:vAlign w:val="center"/>
          </w:tcPr>
          <w:p w:rsidR="0021471F" w:rsidRPr="00D405B6" w:rsidRDefault="00D405B6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29</w:t>
            </w:r>
            <w:r w:rsidR="002656B5"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.05</w:t>
            </w:r>
            <w:r w:rsidR="006A1A93"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6A1A93" w:rsidRPr="00D405B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A3523F" w:rsidRPr="00ED3F7E" w:rsidTr="00B20FB6">
        <w:trPr>
          <w:trHeight w:val="20"/>
          <w:jc w:val="center"/>
        </w:trPr>
        <w:tc>
          <w:tcPr>
            <w:tcW w:w="209" w:type="pct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23" w:type="pct"/>
            <w:gridSpan w:val="3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4068" w:type="pct"/>
            <w:gridSpan w:val="2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D26699" w:rsidRPr="00ED3F7E" w:rsidTr="00D26699">
        <w:trPr>
          <w:trHeight w:val="20"/>
          <w:jc w:val="center"/>
        </w:trPr>
        <w:tc>
          <w:tcPr>
            <w:tcW w:w="209" w:type="pct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pct"/>
            <w:gridSpan w:val="3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2" w:type="pct"/>
            <w:gridSpan w:val="6"/>
            <w:vMerge w:val="restart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627" w:type="pct"/>
            <w:gridSpan w:val="4"/>
            <w:vMerge w:val="restart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562" w:type="pct"/>
            <w:gridSpan w:val="5"/>
            <w:vMerge w:val="restart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1294" w:type="pct"/>
            <w:gridSpan w:val="7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D26699" w:rsidRPr="00ED3F7E" w:rsidTr="00D26699">
        <w:trPr>
          <w:trHeight w:val="20"/>
          <w:jc w:val="center"/>
        </w:trPr>
        <w:tc>
          <w:tcPr>
            <w:tcW w:w="209" w:type="pct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pct"/>
            <w:gridSpan w:val="3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2" w:type="pct"/>
            <w:gridSpan w:val="6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2" w:type="pct"/>
            <w:gridSpan w:val="5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3" w:type="pct"/>
            <w:gridSpan w:val="2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94" w:type="pct"/>
            <w:gridSpan w:val="7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D26699" w:rsidRPr="00ED3F7E" w:rsidTr="00D26699">
        <w:trPr>
          <w:trHeight w:val="20"/>
          <w:jc w:val="center"/>
        </w:trPr>
        <w:tc>
          <w:tcPr>
            <w:tcW w:w="209" w:type="pct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pct"/>
            <w:gridSpan w:val="3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2" w:type="pct"/>
            <w:gridSpan w:val="6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7" w:type="pct"/>
            <w:gridSpan w:val="4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2" w:type="pct"/>
            <w:gridSpan w:val="5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23" w:type="pct"/>
            <w:gridSpan w:val="2"/>
            <w:vMerge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4" w:type="pct"/>
            <w:gridSpan w:val="3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810" w:type="pct"/>
            <w:gridSpan w:val="4"/>
            <w:shd w:val="clear" w:color="auto" w:fill="F2F2F2"/>
            <w:vAlign w:val="center"/>
          </w:tcPr>
          <w:p w:rsidR="00D26699" w:rsidRPr="00ED3F7E" w:rsidRDefault="00D26699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217CD" w:rsidRPr="00ED3F7E" w:rsidTr="00D26699">
        <w:trPr>
          <w:trHeight w:val="265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2217CD" w:rsidRPr="00C50804" w:rsidRDefault="002217CD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2217CD" w:rsidRPr="00D972F7" w:rsidRDefault="002217C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D972F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«ՋԻ ԷՄ ՊՐՈ» ՍՊԸ</w:t>
            </w:r>
          </w:p>
        </w:tc>
        <w:tc>
          <w:tcPr>
            <w:tcW w:w="1062" w:type="pct"/>
            <w:gridSpan w:val="6"/>
            <w:shd w:val="clear" w:color="auto" w:fill="auto"/>
            <w:vAlign w:val="center"/>
          </w:tcPr>
          <w:p w:rsidR="002217CD" w:rsidRPr="00EF504A" w:rsidRDefault="002217CD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F504A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23-1/4</w:t>
            </w:r>
            <w:r w:rsidRPr="00EF504A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-1</w:t>
            </w:r>
          </w:p>
        </w:tc>
        <w:tc>
          <w:tcPr>
            <w:tcW w:w="627" w:type="pct"/>
            <w:gridSpan w:val="4"/>
            <w:vMerge w:val="restart"/>
            <w:shd w:val="clear" w:color="auto" w:fill="auto"/>
            <w:vAlign w:val="center"/>
          </w:tcPr>
          <w:p w:rsidR="002217CD" w:rsidRPr="002217CD" w:rsidRDefault="00D405B6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af-ZA" w:eastAsia="ru-RU"/>
              </w:rPr>
            </w:pPr>
            <w:r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29</w:t>
            </w:r>
            <w:r w:rsidR="002217CD" w:rsidRPr="00D405B6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.05.2023թ</w:t>
            </w:r>
            <w:r w:rsidR="002217CD" w:rsidRPr="00D405B6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2" w:type="pct"/>
            <w:gridSpan w:val="5"/>
            <w:shd w:val="clear" w:color="auto" w:fill="auto"/>
            <w:vAlign w:val="center"/>
          </w:tcPr>
          <w:p w:rsidR="002217CD" w:rsidRPr="00ED3F7E" w:rsidRDefault="00222156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31.07</w:t>
            </w:r>
            <w:r w:rsidR="002217CD" w:rsidRPr="0036363F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2217CD" w:rsidRPr="0036363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2217CD" w:rsidRPr="00ED3F7E" w:rsidRDefault="002217C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4" w:type="pct"/>
            <w:gridSpan w:val="3"/>
            <w:shd w:val="clear" w:color="auto" w:fill="FFFFFF"/>
            <w:vAlign w:val="center"/>
          </w:tcPr>
          <w:p w:rsidR="002217CD" w:rsidRPr="00F12780" w:rsidRDefault="00F12780" w:rsidP="00D24BE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F12780">
              <w:rPr>
                <w:rFonts w:ascii="GHEA Grapalat" w:hAnsi="GHEA Grapalat"/>
                <w:color w:val="FF0000"/>
                <w:sz w:val="14"/>
                <w:szCs w:val="14"/>
              </w:rPr>
              <w:t>22 736 350</w:t>
            </w:r>
          </w:p>
        </w:tc>
        <w:tc>
          <w:tcPr>
            <w:tcW w:w="810" w:type="pct"/>
            <w:gridSpan w:val="4"/>
            <w:shd w:val="clear" w:color="auto" w:fill="FFFFFF"/>
            <w:vAlign w:val="center"/>
          </w:tcPr>
          <w:p w:rsidR="002217CD" w:rsidRPr="0086273E" w:rsidRDefault="00F12780" w:rsidP="001966F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F12780">
              <w:rPr>
                <w:rFonts w:ascii="GHEA Grapalat" w:hAnsi="GHEA Grapalat"/>
                <w:color w:val="FF0000"/>
                <w:sz w:val="14"/>
                <w:szCs w:val="14"/>
              </w:rPr>
              <w:t>22 736 350</w:t>
            </w:r>
          </w:p>
        </w:tc>
      </w:tr>
      <w:tr w:rsidR="002217CD" w:rsidRPr="00ED3F7E" w:rsidTr="00D26699">
        <w:trPr>
          <w:trHeight w:val="265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2217CD" w:rsidRDefault="002217CD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2217CD" w:rsidRPr="00D972F7" w:rsidRDefault="002217CD" w:rsidP="00ED3F7E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D972F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«Բի Լայն» ՍՊԸ</w:t>
            </w:r>
          </w:p>
        </w:tc>
        <w:tc>
          <w:tcPr>
            <w:tcW w:w="1062" w:type="pct"/>
            <w:gridSpan w:val="6"/>
            <w:shd w:val="clear" w:color="auto" w:fill="auto"/>
            <w:vAlign w:val="center"/>
          </w:tcPr>
          <w:p w:rsidR="002217CD" w:rsidRPr="00EF504A" w:rsidRDefault="002217CD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</w:pPr>
            <w:r w:rsidRPr="00EF504A"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ԳՀԱՊՁԲ-</w:t>
            </w:r>
            <w:r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af-ZA" w:eastAsia="ru-RU"/>
              </w:rPr>
              <w:t>23-1/4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-2</w:t>
            </w:r>
          </w:p>
        </w:tc>
        <w:tc>
          <w:tcPr>
            <w:tcW w:w="627" w:type="pct"/>
            <w:gridSpan w:val="4"/>
            <w:vMerge/>
            <w:shd w:val="clear" w:color="auto" w:fill="auto"/>
            <w:vAlign w:val="center"/>
          </w:tcPr>
          <w:p w:rsidR="002217CD" w:rsidRPr="002656B5" w:rsidRDefault="002217CD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562" w:type="pct"/>
            <w:gridSpan w:val="5"/>
            <w:shd w:val="clear" w:color="auto" w:fill="auto"/>
            <w:vAlign w:val="center"/>
          </w:tcPr>
          <w:p w:rsidR="002217CD" w:rsidRDefault="00222156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30.06</w:t>
            </w:r>
            <w:r w:rsidRPr="0036363F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Pr="0036363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2217CD" w:rsidRPr="00ED3F7E" w:rsidRDefault="002217CD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4" w:type="pct"/>
            <w:gridSpan w:val="3"/>
            <w:shd w:val="clear" w:color="auto" w:fill="FFFFFF"/>
            <w:vAlign w:val="center"/>
          </w:tcPr>
          <w:p w:rsidR="002217CD" w:rsidRPr="002217CD" w:rsidRDefault="002217CD" w:rsidP="00D24BEE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217CD">
              <w:rPr>
                <w:rFonts w:ascii="GHEA Grapalat" w:hAnsi="GHEA Grapalat"/>
                <w:color w:val="FF0000"/>
                <w:sz w:val="14"/>
                <w:szCs w:val="14"/>
              </w:rPr>
              <w:t>74 900 004</w:t>
            </w:r>
          </w:p>
        </w:tc>
        <w:tc>
          <w:tcPr>
            <w:tcW w:w="810" w:type="pct"/>
            <w:gridSpan w:val="4"/>
            <w:shd w:val="clear" w:color="auto" w:fill="FFFFFF"/>
            <w:vAlign w:val="center"/>
          </w:tcPr>
          <w:p w:rsidR="002217CD" w:rsidRPr="002217CD" w:rsidRDefault="002217CD" w:rsidP="001966F5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2217CD">
              <w:rPr>
                <w:rFonts w:ascii="GHEA Grapalat" w:hAnsi="GHEA Grapalat"/>
                <w:color w:val="FF0000"/>
                <w:sz w:val="14"/>
                <w:szCs w:val="14"/>
              </w:rPr>
              <w:t>74 900 004</w:t>
            </w:r>
          </w:p>
        </w:tc>
      </w:tr>
      <w:tr w:rsidR="0021471F" w:rsidRPr="00ED3F7E" w:rsidTr="00C20C26">
        <w:trPr>
          <w:trHeight w:val="144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6273E" w:rsidRPr="00ED3F7E" w:rsidTr="00B20FB6">
        <w:trPr>
          <w:trHeight w:val="281"/>
          <w:jc w:val="center"/>
        </w:trPr>
        <w:tc>
          <w:tcPr>
            <w:tcW w:w="209" w:type="pc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23" w:type="pct"/>
            <w:gridSpan w:val="3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1326" w:type="pct"/>
            <w:gridSpan w:val="8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564" w:type="pct"/>
            <w:gridSpan w:val="5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1368" w:type="pct"/>
            <w:gridSpan w:val="7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810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D972F7" w:rsidRPr="00ED3F7E" w:rsidTr="00B20FB6">
        <w:trPr>
          <w:trHeight w:val="225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D972F7" w:rsidRPr="00C50804" w:rsidRDefault="00D972F7" w:rsidP="00D972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D972F7" w:rsidRPr="00D972F7" w:rsidRDefault="00D972F7" w:rsidP="00D972F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D972F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«ՋԻ ԷՄ ՊՐՈ» ՍՊԸ</w:t>
            </w:r>
          </w:p>
        </w:tc>
        <w:tc>
          <w:tcPr>
            <w:tcW w:w="1326" w:type="pct"/>
            <w:gridSpan w:val="8"/>
            <w:shd w:val="clear" w:color="auto" w:fill="auto"/>
            <w:vAlign w:val="center"/>
          </w:tcPr>
          <w:p w:rsidR="00D972F7" w:rsidRPr="00F12780" w:rsidRDefault="00D972F7" w:rsidP="00D972F7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F12780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ՀՀ</w:t>
            </w:r>
            <w:r w:rsidRPr="00F12780">
              <w:rPr>
                <w:rFonts w:ascii="GHEA Grapalat" w:hAnsi="GHEA Grapalat"/>
                <w:sz w:val="14"/>
                <w:szCs w:val="14"/>
                <w:lang w:val="hy-AM" w:eastAsia="ru-RU"/>
              </w:rPr>
              <w:t>.</w:t>
            </w:r>
            <w:r w:rsidRPr="00F12780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ք</w:t>
            </w:r>
            <w:r w:rsidRPr="00F12780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. </w:t>
            </w:r>
            <w:r w:rsidRPr="00F12780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Երևան</w:t>
            </w:r>
            <w:r w:rsidRPr="00F12780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, </w:t>
            </w:r>
            <w:r w:rsidR="00F12780" w:rsidRPr="00F12780">
              <w:rPr>
                <w:rFonts w:ascii="GHEA Grapalat" w:hAnsi="GHEA Grapalat" w:cs="Sylfaen"/>
                <w:sz w:val="14"/>
                <w:szCs w:val="14"/>
                <w:lang w:eastAsia="ru-RU"/>
              </w:rPr>
              <w:t>Նոր Արեշ 24փ., 15տ.</w:t>
            </w:r>
          </w:p>
        </w:tc>
        <w:tc>
          <w:tcPr>
            <w:tcW w:w="564" w:type="pct"/>
            <w:gridSpan w:val="5"/>
            <w:shd w:val="clear" w:color="auto" w:fill="auto"/>
            <w:vAlign w:val="center"/>
          </w:tcPr>
          <w:p w:rsidR="00D972F7" w:rsidRPr="0086273E" w:rsidRDefault="00D972F7" w:rsidP="00D972F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273E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1368" w:type="pct"/>
            <w:gridSpan w:val="7"/>
            <w:shd w:val="clear" w:color="auto" w:fill="auto"/>
            <w:vAlign w:val="center"/>
          </w:tcPr>
          <w:p w:rsidR="00F12780" w:rsidRPr="00F12780" w:rsidRDefault="00F12780" w:rsidP="00F12780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</w:pPr>
            <w:r w:rsidRPr="00F12780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F12780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Կոնվերս</w:t>
            </w:r>
            <w:r w:rsidRPr="00F12780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բանկ</w:t>
            </w:r>
            <w:r w:rsidRPr="00F12780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F12780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ՓԲԸ</w:t>
            </w:r>
          </w:p>
          <w:p w:rsidR="00D972F7" w:rsidRPr="0086273E" w:rsidRDefault="00F12780" w:rsidP="00F12780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12780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F12780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F12780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F12780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F12780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1930068503100100</w:t>
            </w:r>
          </w:p>
        </w:tc>
        <w:tc>
          <w:tcPr>
            <w:tcW w:w="810" w:type="pct"/>
            <w:gridSpan w:val="4"/>
            <w:shd w:val="clear" w:color="auto" w:fill="auto"/>
            <w:vAlign w:val="center"/>
          </w:tcPr>
          <w:p w:rsidR="00D972F7" w:rsidRPr="0086273E" w:rsidRDefault="00D972F7" w:rsidP="00D972F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86273E">
              <w:rPr>
                <w:rFonts w:ascii="GHEA Grapalat" w:hAnsi="GHEA Grapalat"/>
                <w:sz w:val="14"/>
                <w:szCs w:val="14"/>
                <w:lang w:val="nb-NO"/>
              </w:rPr>
              <w:t xml:space="preserve">ՀՎՀՀ </w:t>
            </w:r>
            <w:r w:rsidR="00F12780" w:rsidRPr="00F12780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01243256</w:t>
            </w:r>
          </w:p>
        </w:tc>
      </w:tr>
      <w:tr w:rsidR="00D972F7" w:rsidRPr="00ED3F7E" w:rsidTr="00B20FB6">
        <w:trPr>
          <w:trHeight w:val="225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D972F7" w:rsidRDefault="00D972F7" w:rsidP="00D972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2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D972F7" w:rsidRPr="00D972F7" w:rsidRDefault="00D972F7" w:rsidP="00D972F7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D972F7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«Բի Լայն» ՍՊԸ</w:t>
            </w:r>
          </w:p>
        </w:tc>
        <w:tc>
          <w:tcPr>
            <w:tcW w:w="1326" w:type="pct"/>
            <w:gridSpan w:val="8"/>
            <w:shd w:val="clear" w:color="auto" w:fill="auto"/>
            <w:vAlign w:val="center"/>
          </w:tcPr>
          <w:p w:rsidR="00D972F7" w:rsidRPr="000F35DA" w:rsidRDefault="000F35DA" w:rsidP="00D972F7">
            <w:pPr>
              <w:tabs>
                <w:tab w:val="left" w:pos="1134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</w:pPr>
            <w:r w:rsidRPr="000F35DA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ՀՀ</w:t>
            </w:r>
            <w:r w:rsidRPr="000F35DA">
              <w:rPr>
                <w:rFonts w:ascii="GHEA Grapalat" w:hAnsi="GHEA Grapalat"/>
                <w:sz w:val="14"/>
                <w:szCs w:val="14"/>
                <w:lang w:val="hy-AM" w:eastAsia="ru-RU"/>
              </w:rPr>
              <w:t>.</w:t>
            </w:r>
            <w:r w:rsidRPr="000F35DA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ք</w:t>
            </w:r>
            <w:r w:rsidRPr="000F35DA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. </w:t>
            </w:r>
            <w:r w:rsidRPr="000F35DA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Երևան</w:t>
            </w:r>
            <w:r w:rsidRPr="000F35DA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, </w:t>
            </w:r>
            <w:r w:rsidRPr="000F35DA">
              <w:rPr>
                <w:rFonts w:ascii="GHEA Grapalat" w:hAnsi="GHEA Grapalat" w:cs="Sylfaen"/>
                <w:sz w:val="14"/>
                <w:szCs w:val="14"/>
                <w:lang w:eastAsia="ru-RU"/>
              </w:rPr>
              <w:t>Խանջյան 50</w:t>
            </w:r>
          </w:p>
        </w:tc>
        <w:tc>
          <w:tcPr>
            <w:tcW w:w="564" w:type="pct"/>
            <w:gridSpan w:val="5"/>
            <w:shd w:val="clear" w:color="auto" w:fill="auto"/>
            <w:vAlign w:val="center"/>
          </w:tcPr>
          <w:p w:rsidR="00D972F7" w:rsidRPr="0086273E" w:rsidRDefault="000F35DA" w:rsidP="00D972F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----</w:t>
            </w:r>
          </w:p>
        </w:tc>
        <w:tc>
          <w:tcPr>
            <w:tcW w:w="1368" w:type="pct"/>
            <w:gridSpan w:val="7"/>
            <w:shd w:val="clear" w:color="auto" w:fill="auto"/>
            <w:vAlign w:val="center"/>
          </w:tcPr>
          <w:p w:rsidR="00D405B6" w:rsidRPr="00D405B6" w:rsidRDefault="00D405B6" w:rsidP="00D405B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</w:pPr>
            <w:bookmarkStart w:id="0" w:name="_GoBack"/>
            <w:r w:rsidRPr="00D405B6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D405B6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Ամերիա</w:t>
            </w:r>
            <w:r w:rsidRPr="00D405B6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բանկ</w:t>
            </w:r>
            <w:r w:rsidRPr="00D405B6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»</w:t>
            </w:r>
            <w:r w:rsidRPr="00D405B6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 xml:space="preserve"> ՓԲԸ</w:t>
            </w:r>
          </w:p>
          <w:p w:rsidR="00D972F7" w:rsidRPr="0086273E" w:rsidRDefault="00D405B6" w:rsidP="00D405B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</w:pPr>
            <w:r w:rsidRPr="00D405B6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D405B6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D405B6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D405B6">
              <w:rPr>
                <w:rFonts w:ascii="GHEA Grapalat" w:hAnsi="GHEA Grapalat" w:cs="Sylfaen"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D405B6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1570017509080100</w:t>
            </w:r>
            <w:bookmarkEnd w:id="0"/>
          </w:p>
        </w:tc>
        <w:tc>
          <w:tcPr>
            <w:tcW w:w="810" w:type="pct"/>
            <w:gridSpan w:val="4"/>
            <w:shd w:val="clear" w:color="auto" w:fill="auto"/>
            <w:vAlign w:val="center"/>
          </w:tcPr>
          <w:p w:rsidR="00D972F7" w:rsidRPr="000F35DA" w:rsidRDefault="000F35DA" w:rsidP="00D972F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0F35DA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ՀՎՀՀ</w:t>
            </w:r>
            <w:r w:rsidRPr="000F35DA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</w:t>
            </w:r>
            <w:r w:rsidRPr="000F35DA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02522096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1471F" w:rsidRPr="00ED3F7E" w:rsidTr="00B20FB6">
        <w:trPr>
          <w:trHeight w:val="20"/>
          <w:jc w:val="center"/>
        </w:trPr>
        <w:tc>
          <w:tcPr>
            <w:tcW w:w="1292" w:type="pct"/>
            <w:gridSpan w:val="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708" w:type="pct"/>
            <w:gridSpan w:val="23"/>
            <w:shd w:val="clear" w:color="auto" w:fill="auto"/>
            <w:vAlign w:val="center"/>
          </w:tcPr>
          <w:p w:rsidR="0021471F" w:rsidRPr="00BD553D" w:rsidRDefault="0021471F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 կայացել է: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BD21A5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21471F" w:rsidRPr="00E4188B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թյունը հրապարակվելուց հետո </w:t>
            </w:r>
            <w:r w:rsidRPr="00BD21A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1471F" w:rsidRPr="004D078F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1471F" w:rsidRPr="00ED3F7E" w:rsidRDefault="0021471F" w:rsidP="00C32CF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E67B1" w:rsidRPr="00781C4D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temur.shahnazaryan@mil.am.</w:t>
            </w:r>
          </w:p>
        </w:tc>
      </w:tr>
      <w:tr w:rsidR="0021471F" w:rsidRPr="00BB18B9" w:rsidTr="00A07169">
        <w:trPr>
          <w:trHeight w:val="20"/>
          <w:jc w:val="center"/>
        </w:trPr>
        <w:tc>
          <w:tcPr>
            <w:tcW w:w="5000" w:type="pct"/>
            <w:gridSpan w:val="28"/>
            <w:shd w:val="clear" w:color="auto" w:fill="9FCEF9"/>
          </w:tcPr>
          <w:p w:rsidR="0021471F" w:rsidRPr="00A07169" w:rsidRDefault="0021471F" w:rsidP="00A071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B20FB6">
        <w:trPr>
          <w:trHeight w:val="20"/>
          <w:jc w:val="center"/>
        </w:trPr>
        <w:tc>
          <w:tcPr>
            <w:tcW w:w="2403" w:type="pct"/>
            <w:gridSpan w:val="13"/>
            <w:shd w:val="clear" w:color="auto" w:fill="auto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597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21471F" w:rsidRPr="00BB18B9" w:rsidTr="00B20FB6">
        <w:trPr>
          <w:trHeight w:val="20"/>
          <w:jc w:val="center"/>
        </w:trPr>
        <w:tc>
          <w:tcPr>
            <w:tcW w:w="2403" w:type="pct"/>
            <w:gridSpan w:val="13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շրջանակներում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հակաօրինական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հայտնաբերվելու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դեպքում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այդ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կապակցությամբ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ձեռնարկված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համառոտ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նկարագիրը</w:t>
            </w:r>
          </w:p>
        </w:tc>
        <w:tc>
          <w:tcPr>
            <w:tcW w:w="2597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21471F" w:rsidRPr="00BB18B9" w:rsidTr="00B20FB6">
        <w:trPr>
          <w:trHeight w:val="20"/>
          <w:jc w:val="center"/>
        </w:trPr>
        <w:tc>
          <w:tcPr>
            <w:tcW w:w="2403" w:type="pct"/>
            <w:gridSpan w:val="13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ներկայացված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բողոքները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կայացված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597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ED3F7E" w:rsidTr="00B20FB6">
        <w:trPr>
          <w:trHeight w:val="20"/>
          <w:jc w:val="center"/>
        </w:trPr>
        <w:tc>
          <w:tcPr>
            <w:tcW w:w="1437" w:type="pct"/>
            <w:gridSpan w:val="7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3563" w:type="pct"/>
            <w:gridSpan w:val="21"/>
            <w:shd w:val="clear" w:color="auto" w:fill="auto"/>
            <w:vAlign w:val="center"/>
          </w:tcPr>
          <w:p w:rsidR="0021471F" w:rsidRPr="00790462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523F" w:rsidRPr="00ED3F7E" w:rsidTr="00B20FB6">
        <w:trPr>
          <w:trHeight w:val="20"/>
          <w:jc w:val="center"/>
        </w:trPr>
        <w:tc>
          <w:tcPr>
            <w:tcW w:w="1622" w:type="pct"/>
            <w:gridSpan w:val="9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Անուն, Ազգանուն</w:t>
            </w:r>
          </w:p>
        </w:tc>
        <w:tc>
          <w:tcPr>
            <w:tcW w:w="1732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</w:p>
        </w:tc>
        <w:tc>
          <w:tcPr>
            <w:tcW w:w="1646" w:type="pct"/>
            <w:gridSpan w:val="8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Էլ. փոստի հասցեն</w:t>
            </w:r>
          </w:p>
        </w:tc>
      </w:tr>
      <w:tr w:rsidR="00A3523F" w:rsidRPr="00ED3F7E" w:rsidTr="00B20FB6">
        <w:trPr>
          <w:trHeight w:val="20"/>
          <w:jc w:val="center"/>
        </w:trPr>
        <w:tc>
          <w:tcPr>
            <w:tcW w:w="1622" w:type="pct"/>
            <w:gridSpan w:val="9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  <w:t>Սյուզաննա Եսոյան</w:t>
            </w:r>
          </w:p>
        </w:tc>
        <w:tc>
          <w:tcPr>
            <w:tcW w:w="1732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</w:p>
        </w:tc>
        <w:tc>
          <w:tcPr>
            <w:tcW w:w="1646" w:type="pct"/>
            <w:gridSpan w:val="8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2"/>
                <w:lang w:val="af-ZA" w:eastAsia="ru-RU"/>
              </w:rPr>
              <w:t>s.esoyan@mil.am</w:t>
            </w:r>
          </w:p>
        </w:tc>
      </w:tr>
    </w:tbl>
    <w:p w:rsidR="000531EF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Պատվիրատու</w:t>
      </w:r>
      <w:r w:rsidRPr="00ED3F7E">
        <w:rPr>
          <w:rFonts w:ascii="GHEA Grapalat" w:eastAsia="Times New Roman" w:hAnsi="GHEA Grapalat" w:cs="Arial Armenian"/>
          <w:sz w:val="12"/>
          <w:szCs w:val="12"/>
          <w:lang w:val="af-ZA" w:eastAsia="ru-RU"/>
        </w:rPr>
        <w:t xml:space="preserve">`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ՀՀ</w:t>
      </w:r>
      <w:r w:rsidRPr="00ED3F7E">
        <w:rPr>
          <w:rFonts w:ascii="GHEA Grapalat" w:eastAsia="Times New Roman" w:hAnsi="GHEA Grapalat" w:cs="Times New Roman"/>
          <w:sz w:val="12"/>
          <w:szCs w:val="12"/>
          <w:lang w:val="af-ZA" w:eastAsia="ru-RU"/>
        </w:rPr>
        <w:t xml:space="preserve"> պաշտպանության 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նախարարություն</w:t>
      </w:r>
    </w:p>
    <w:sectPr w:rsidR="000531EF" w:rsidSect="004B5AD2">
      <w:footerReference w:type="even" r:id="rId7"/>
      <w:footerReference w:type="default" r:id="rId8"/>
      <w:pgSz w:w="11906" w:h="16838"/>
      <w:pgMar w:top="360" w:right="386" w:bottom="360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5E" w:rsidRDefault="00065E5E" w:rsidP="00FA7984">
      <w:pPr>
        <w:spacing w:after="0" w:line="240" w:lineRule="auto"/>
      </w:pPr>
      <w:r>
        <w:separator/>
      </w:r>
    </w:p>
  </w:endnote>
  <w:endnote w:type="continuationSeparator" w:id="0">
    <w:p w:rsidR="00065E5E" w:rsidRDefault="00065E5E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551955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551955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D405B6">
      <w:rPr>
        <w:rStyle w:val="PageNumber"/>
        <w:noProof/>
        <w:sz w:val="16"/>
        <w:szCs w:val="16"/>
      </w:rPr>
      <w:t>4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5E" w:rsidRDefault="00065E5E" w:rsidP="00FA7984">
      <w:pPr>
        <w:spacing w:after="0" w:line="240" w:lineRule="auto"/>
      </w:pPr>
      <w:r>
        <w:separator/>
      </w:r>
    </w:p>
  </w:footnote>
  <w:footnote w:type="continuationSeparator" w:id="0">
    <w:p w:rsidR="00065E5E" w:rsidRDefault="00065E5E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5642"/>
    <w:rsid w:val="00006CAC"/>
    <w:rsid w:val="0002703D"/>
    <w:rsid w:val="00033E8F"/>
    <w:rsid w:val="00042BDB"/>
    <w:rsid w:val="00050A14"/>
    <w:rsid w:val="000531EF"/>
    <w:rsid w:val="00065E5E"/>
    <w:rsid w:val="00077D82"/>
    <w:rsid w:val="000A51DF"/>
    <w:rsid w:val="000B6B22"/>
    <w:rsid w:val="000C42E0"/>
    <w:rsid w:val="000C7DB4"/>
    <w:rsid w:val="000E34B8"/>
    <w:rsid w:val="000E65C3"/>
    <w:rsid w:val="000F2C09"/>
    <w:rsid w:val="000F35DA"/>
    <w:rsid w:val="001546EA"/>
    <w:rsid w:val="0017268E"/>
    <w:rsid w:val="00185E3A"/>
    <w:rsid w:val="0018762A"/>
    <w:rsid w:val="001966F5"/>
    <w:rsid w:val="001C0314"/>
    <w:rsid w:val="001D3C72"/>
    <w:rsid w:val="001D4234"/>
    <w:rsid w:val="0021471F"/>
    <w:rsid w:val="00215A47"/>
    <w:rsid w:val="002217CD"/>
    <w:rsid w:val="00222156"/>
    <w:rsid w:val="00230243"/>
    <w:rsid w:val="00232AA1"/>
    <w:rsid w:val="002353AA"/>
    <w:rsid w:val="00235DA7"/>
    <w:rsid w:val="00250950"/>
    <w:rsid w:val="002656B5"/>
    <w:rsid w:val="0028480B"/>
    <w:rsid w:val="002B5E97"/>
    <w:rsid w:val="002C6E01"/>
    <w:rsid w:val="002E6877"/>
    <w:rsid w:val="002F2674"/>
    <w:rsid w:val="002F76BF"/>
    <w:rsid w:val="003064C7"/>
    <w:rsid w:val="00311489"/>
    <w:rsid w:val="00330EF2"/>
    <w:rsid w:val="003356D1"/>
    <w:rsid w:val="003372ED"/>
    <w:rsid w:val="0034702E"/>
    <w:rsid w:val="00347C3F"/>
    <w:rsid w:val="00350C73"/>
    <w:rsid w:val="00355BB3"/>
    <w:rsid w:val="0036363F"/>
    <w:rsid w:val="00364193"/>
    <w:rsid w:val="003663F0"/>
    <w:rsid w:val="00372FF0"/>
    <w:rsid w:val="00386513"/>
    <w:rsid w:val="00387A91"/>
    <w:rsid w:val="003A44DD"/>
    <w:rsid w:val="003A7DE1"/>
    <w:rsid w:val="003B40B6"/>
    <w:rsid w:val="0042413C"/>
    <w:rsid w:val="00440687"/>
    <w:rsid w:val="00456805"/>
    <w:rsid w:val="00461E6F"/>
    <w:rsid w:val="00462BBE"/>
    <w:rsid w:val="00476857"/>
    <w:rsid w:val="0049194F"/>
    <w:rsid w:val="004B5AD2"/>
    <w:rsid w:val="004B7F9E"/>
    <w:rsid w:val="004C46E2"/>
    <w:rsid w:val="00503BBF"/>
    <w:rsid w:val="0051712A"/>
    <w:rsid w:val="00535096"/>
    <w:rsid w:val="005510D8"/>
    <w:rsid w:val="00551955"/>
    <w:rsid w:val="00552F2E"/>
    <w:rsid w:val="00576EAE"/>
    <w:rsid w:val="005C104E"/>
    <w:rsid w:val="005D000B"/>
    <w:rsid w:val="005D5903"/>
    <w:rsid w:val="005F0659"/>
    <w:rsid w:val="00602CB5"/>
    <w:rsid w:val="00632EE1"/>
    <w:rsid w:val="00650228"/>
    <w:rsid w:val="00665EA8"/>
    <w:rsid w:val="00667A0C"/>
    <w:rsid w:val="0068127A"/>
    <w:rsid w:val="006941A7"/>
    <w:rsid w:val="006A1A93"/>
    <w:rsid w:val="006B3931"/>
    <w:rsid w:val="006B5EC6"/>
    <w:rsid w:val="006E1697"/>
    <w:rsid w:val="006E31C8"/>
    <w:rsid w:val="007038B1"/>
    <w:rsid w:val="0073726C"/>
    <w:rsid w:val="00737F7E"/>
    <w:rsid w:val="0074242C"/>
    <w:rsid w:val="00753596"/>
    <w:rsid w:val="007620FE"/>
    <w:rsid w:val="0076268A"/>
    <w:rsid w:val="0076275D"/>
    <w:rsid w:val="0076412D"/>
    <w:rsid w:val="00781C4D"/>
    <w:rsid w:val="00790462"/>
    <w:rsid w:val="007955D0"/>
    <w:rsid w:val="007A0F5E"/>
    <w:rsid w:val="007A494F"/>
    <w:rsid w:val="007B61B7"/>
    <w:rsid w:val="007C6395"/>
    <w:rsid w:val="007E684C"/>
    <w:rsid w:val="00822F04"/>
    <w:rsid w:val="00822F0D"/>
    <w:rsid w:val="008332E6"/>
    <w:rsid w:val="00840415"/>
    <w:rsid w:val="008479E3"/>
    <w:rsid w:val="00855734"/>
    <w:rsid w:val="0086273E"/>
    <w:rsid w:val="00862978"/>
    <w:rsid w:val="0087239C"/>
    <w:rsid w:val="00873090"/>
    <w:rsid w:val="0087473B"/>
    <w:rsid w:val="008B2A11"/>
    <w:rsid w:val="008B38A0"/>
    <w:rsid w:val="008B5A70"/>
    <w:rsid w:val="008C27A0"/>
    <w:rsid w:val="008C5D81"/>
    <w:rsid w:val="008D5133"/>
    <w:rsid w:val="008D65CA"/>
    <w:rsid w:val="008E0E18"/>
    <w:rsid w:val="008E24B9"/>
    <w:rsid w:val="008E3A76"/>
    <w:rsid w:val="008F119C"/>
    <w:rsid w:val="008F6D18"/>
    <w:rsid w:val="00922625"/>
    <w:rsid w:val="00937A3D"/>
    <w:rsid w:val="00945C83"/>
    <w:rsid w:val="00947FA9"/>
    <w:rsid w:val="00952086"/>
    <w:rsid w:val="0095368C"/>
    <w:rsid w:val="00990B34"/>
    <w:rsid w:val="009A0D12"/>
    <w:rsid w:val="009A493A"/>
    <w:rsid w:val="009B04C5"/>
    <w:rsid w:val="009B0691"/>
    <w:rsid w:val="009B0E07"/>
    <w:rsid w:val="009B36EB"/>
    <w:rsid w:val="009C6882"/>
    <w:rsid w:val="00A07169"/>
    <w:rsid w:val="00A14166"/>
    <w:rsid w:val="00A15837"/>
    <w:rsid w:val="00A277E9"/>
    <w:rsid w:val="00A3523F"/>
    <w:rsid w:val="00A37D7E"/>
    <w:rsid w:val="00A45177"/>
    <w:rsid w:val="00A532C2"/>
    <w:rsid w:val="00A808C2"/>
    <w:rsid w:val="00A966BC"/>
    <w:rsid w:val="00A96892"/>
    <w:rsid w:val="00AC07C6"/>
    <w:rsid w:val="00AD24E3"/>
    <w:rsid w:val="00AD2E92"/>
    <w:rsid w:val="00AD4B35"/>
    <w:rsid w:val="00AE1B19"/>
    <w:rsid w:val="00AE1F79"/>
    <w:rsid w:val="00AF4189"/>
    <w:rsid w:val="00B11570"/>
    <w:rsid w:val="00B20FB6"/>
    <w:rsid w:val="00B65D3C"/>
    <w:rsid w:val="00B67A0F"/>
    <w:rsid w:val="00B71E26"/>
    <w:rsid w:val="00B72FE3"/>
    <w:rsid w:val="00B760B4"/>
    <w:rsid w:val="00B92C98"/>
    <w:rsid w:val="00B9524C"/>
    <w:rsid w:val="00BA7D83"/>
    <w:rsid w:val="00BB18B9"/>
    <w:rsid w:val="00BB7200"/>
    <w:rsid w:val="00BC2558"/>
    <w:rsid w:val="00BD0A1B"/>
    <w:rsid w:val="00BD21A5"/>
    <w:rsid w:val="00BD553D"/>
    <w:rsid w:val="00BE4CEE"/>
    <w:rsid w:val="00BE67B1"/>
    <w:rsid w:val="00BF4D56"/>
    <w:rsid w:val="00C03702"/>
    <w:rsid w:val="00C150AD"/>
    <w:rsid w:val="00C15C9E"/>
    <w:rsid w:val="00C20C26"/>
    <w:rsid w:val="00C32CF9"/>
    <w:rsid w:val="00C407E7"/>
    <w:rsid w:val="00C500D4"/>
    <w:rsid w:val="00C50804"/>
    <w:rsid w:val="00C63453"/>
    <w:rsid w:val="00C63823"/>
    <w:rsid w:val="00C654FB"/>
    <w:rsid w:val="00C756F4"/>
    <w:rsid w:val="00C84C77"/>
    <w:rsid w:val="00CA07F8"/>
    <w:rsid w:val="00CA0B20"/>
    <w:rsid w:val="00CA26DA"/>
    <w:rsid w:val="00CB2466"/>
    <w:rsid w:val="00CB5077"/>
    <w:rsid w:val="00CB7F36"/>
    <w:rsid w:val="00CC44B4"/>
    <w:rsid w:val="00CD253F"/>
    <w:rsid w:val="00CD7106"/>
    <w:rsid w:val="00D030D1"/>
    <w:rsid w:val="00D14F3B"/>
    <w:rsid w:val="00D215F5"/>
    <w:rsid w:val="00D21D88"/>
    <w:rsid w:val="00D22EB7"/>
    <w:rsid w:val="00D24BEE"/>
    <w:rsid w:val="00D26699"/>
    <w:rsid w:val="00D26C7C"/>
    <w:rsid w:val="00D405B6"/>
    <w:rsid w:val="00D41E99"/>
    <w:rsid w:val="00D530B2"/>
    <w:rsid w:val="00D714CC"/>
    <w:rsid w:val="00D77AD2"/>
    <w:rsid w:val="00D86DFE"/>
    <w:rsid w:val="00D972F7"/>
    <w:rsid w:val="00DB12CE"/>
    <w:rsid w:val="00DC07FD"/>
    <w:rsid w:val="00DD2614"/>
    <w:rsid w:val="00DD5514"/>
    <w:rsid w:val="00DE4540"/>
    <w:rsid w:val="00DF4758"/>
    <w:rsid w:val="00DF7CC4"/>
    <w:rsid w:val="00E06898"/>
    <w:rsid w:val="00E3501E"/>
    <w:rsid w:val="00E40226"/>
    <w:rsid w:val="00E40F7E"/>
    <w:rsid w:val="00E42980"/>
    <w:rsid w:val="00E42A70"/>
    <w:rsid w:val="00E51A72"/>
    <w:rsid w:val="00E814CA"/>
    <w:rsid w:val="00E8685B"/>
    <w:rsid w:val="00EA4C61"/>
    <w:rsid w:val="00EC54BF"/>
    <w:rsid w:val="00EC6B55"/>
    <w:rsid w:val="00ED07F5"/>
    <w:rsid w:val="00ED3F7E"/>
    <w:rsid w:val="00EE494F"/>
    <w:rsid w:val="00EF504A"/>
    <w:rsid w:val="00F12780"/>
    <w:rsid w:val="00F13876"/>
    <w:rsid w:val="00F13F19"/>
    <w:rsid w:val="00F26013"/>
    <w:rsid w:val="00F26AC6"/>
    <w:rsid w:val="00F32A29"/>
    <w:rsid w:val="00F569C6"/>
    <w:rsid w:val="00F643C6"/>
    <w:rsid w:val="00F7048D"/>
    <w:rsid w:val="00F70E22"/>
    <w:rsid w:val="00F732A7"/>
    <w:rsid w:val="00F850D1"/>
    <w:rsid w:val="00FA0886"/>
    <w:rsid w:val="00FA7984"/>
    <w:rsid w:val="00FB4ABC"/>
    <w:rsid w:val="00FC257D"/>
    <w:rsid w:val="00FD2635"/>
    <w:rsid w:val="00FD2D8C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5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46E2"/>
  </w:style>
  <w:style w:type="character" w:customStyle="1" w:styleId="Heading3Char">
    <w:name w:val="Heading 3 Char"/>
    <w:basedOn w:val="DefaultParagraphFont"/>
    <w:link w:val="Heading3"/>
    <w:uiPriority w:val="9"/>
    <w:semiHidden/>
    <w:rsid w:val="007535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5AD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3701</Words>
  <Characters>21096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116</cp:revision>
  <cp:lastPrinted>2021-10-29T06:48:00Z</cp:lastPrinted>
  <dcterms:created xsi:type="dcterms:W3CDTF">2021-11-01T06:14:00Z</dcterms:created>
  <dcterms:modified xsi:type="dcterms:W3CDTF">2023-05-29T13:14:00Z</dcterms:modified>
</cp:coreProperties>
</file>