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1F4866C1"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FA40AF">
        <w:rPr>
          <w:rFonts w:ascii="GHEA Grapalat" w:hAnsi="GHEA Grapalat"/>
          <w:b/>
          <w:lang w:val="en-US" w:eastAsia="en-US" w:bidi="ar-SA"/>
        </w:rPr>
        <w:t>08 may</w:t>
      </w:r>
      <w:r>
        <w:rPr>
          <w:rFonts w:ascii="GHEA Grapalat" w:hAnsi="GHEA Grapalat"/>
          <w:b/>
          <w:lang w:val="en-AU" w:eastAsia="en-US" w:bidi="ar-SA"/>
        </w:rPr>
        <w:t xml:space="preserve"> 202</w:t>
      </w:r>
      <w:r w:rsidR="00C336CB">
        <w:rPr>
          <w:rFonts w:ascii="GHEA Grapalat" w:hAnsi="GHEA Grapalat"/>
          <w:b/>
          <w:lang w:val="en-AU" w:eastAsia="en-US" w:bidi="ar-SA"/>
        </w:rPr>
        <w:t>3</w:t>
      </w:r>
      <w:r>
        <w:rPr>
          <w:rFonts w:ascii="GHEA Grapalat" w:hAnsi="GHEA Grapalat"/>
          <w:b/>
          <w:lang w:val="en-AU" w:eastAsia="en-US" w:bidi="ar-SA"/>
        </w:rPr>
        <w:t xml:space="preserve">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37D9D27B"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w:t>
      </w:r>
      <w:r w:rsidR="00FA40AF">
        <w:rPr>
          <w:rFonts w:ascii="GHEA Grapalat" w:hAnsi="GHEA Grapalat"/>
          <w:i w:val="0"/>
          <w:color w:val="FF0000"/>
          <w:lang w:val="hy-AM"/>
        </w:rPr>
        <w:t>Ծ</w:t>
      </w:r>
      <w:r w:rsidR="00217C62" w:rsidRPr="003573CD">
        <w:rPr>
          <w:rFonts w:ascii="GHEA Grapalat" w:hAnsi="GHEA Grapalat"/>
          <w:i w:val="0"/>
          <w:color w:val="FF0000"/>
          <w:lang w:val="hy-AM"/>
        </w:rPr>
        <w:t>ՁԲ-</w:t>
      </w:r>
      <w:r w:rsidR="00FA40AF">
        <w:rPr>
          <w:rFonts w:ascii="GHEA Grapalat" w:hAnsi="GHEA Grapalat"/>
          <w:i w:val="0"/>
          <w:color w:val="FF0000"/>
          <w:lang w:val="hy-AM"/>
        </w:rPr>
        <w:t>01</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3A4786BA"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As a result of this procedure, the selected participant will be offered to sign </w:t>
      </w:r>
      <w:r w:rsidR="00FA40AF" w:rsidRPr="00FA40AF">
        <w:rPr>
          <w:rFonts w:ascii="GHEA Grapalat" w:hAnsi="GHEA Grapalat"/>
          <w:color w:val="FF0000"/>
          <w:sz w:val="22"/>
          <w:szCs w:val="22"/>
          <w:lang w:val="en-US" w:eastAsia="en-US" w:bidi="ar-SA"/>
        </w:rPr>
        <w:t>contract for the provision of medical insurance services</w:t>
      </w:r>
      <w:r w:rsidR="00217C62" w:rsidRPr="000019B3">
        <w:rPr>
          <w:rFonts w:ascii="GHEA Grapalat" w:hAnsi="GHEA Grapalat"/>
          <w:color w:val="FF0000"/>
          <w:sz w:val="22"/>
          <w:szCs w:val="22"/>
          <w:lang w:val="en-US" w:eastAsia="en-US" w:bidi="ar-SA"/>
        </w:rPr>
        <w:t xml:space="preserve"> </w:t>
      </w:r>
      <w:r>
        <w:rPr>
          <w:rFonts w:ascii="GHEA Grapalat" w:hAnsi="GHEA Grapalat"/>
          <w:sz w:val="22"/>
          <w:szCs w:val="22"/>
          <w:lang w:val="en-US" w:eastAsia="en-US" w:bidi="ar-SA"/>
        </w:rPr>
        <w:t>contract (hereinafter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2C9CBFB3"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0 am. The inquiries may be submitted either Armenian, Russian or English.</w:t>
      </w:r>
    </w:p>
    <w:p w14:paraId="4DBC8269" w14:textId="59525C85"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FA40AF">
        <w:rPr>
          <w:rFonts w:ascii="GHEA Grapalat" w:hAnsi="GHEA Grapalat"/>
          <w:sz w:val="22"/>
          <w:szCs w:val="22"/>
          <w:lang w:val="hy-AM" w:eastAsia="en-US" w:bidi="ar-SA"/>
        </w:rPr>
        <w:t>15</w:t>
      </w:r>
      <w:r w:rsidR="00A014A3">
        <w:rPr>
          <w:rFonts w:ascii="GHEA Grapalat" w:hAnsi="GHEA Grapalat"/>
          <w:sz w:val="22"/>
          <w:szCs w:val="22"/>
          <w:lang w:val="en-US" w:eastAsia="en-US" w:bidi="ar-SA"/>
        </w:rPr>
        <w:t xml:space="preserve"> </w:t>
      </w:r>
      <w:r w:rsidR="00FA40AF">
        <w:rPr>
          <w:rFonts w:ascii="GHEA Grapalat" w:hAnsi="GHEA Grapalat"/>
          <w:sz w:val="22"/>
          <w:szCs w:val="22"/>
          <w:lang w:val="en-US" w:eastAsia="en-US" w:bidi="ar-SA"/>
        </w:rPr>
        <w:t>may</w:t>
      </w:r>
      <w:r w:rsidRPr="00217C62">
        <w:rPr>
          <w:rFonts w:ascii="GHEA Grapalat" w:hAnsi="GHEA Grapalat"/>
          <w:sz w:val="22"/>
          <w:szCs w:val="22"/>
          <w:lang w:val="en-US" w:eastAsia="en-US" w:bidi="ar-SA"/>
        </w:rPr>
        <w:t xml:space="preserve"> 202</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 xml:space="preserve"> at 1</w:t>
      </w:r>
      <w:r w:rsidR="00C336CB">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A014A3">
        <w:rPr>
          <w:rFonts w:ascii="GHEA Grapalat" w:hAnsi="GHEA Grapalat"/>
          <w:sz w:val="22"/>
          <w:szCs w:val="22"/>
          <w:lang w:val="en-US" w:eastAsia="en-US" w:bidi="ar-SA"/>
        </w:rPr>
        <w:t>0</w:t>
      </w:r>
      <w:r w:rsidRPr="00217C62">
        <w:rPr>
          <w:rFonts w:ascii="GHEA Grapalat" w:hAnsi="GHEA Grapalat"/>
          <w:sz w:val="22"/>
          <w:szCs w:val="22"/>
          <w:lang w:val="en-US" w:eastAsia="en-US" w:bidi="ar-SA"/>
        </w:rPr>
        <w:t xml:space="preserve">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7BC6C" w14:textId="77777777" w:rsidR="00C46998" w:rsidRDefault="00C46998">
      <w:r>
        <w:separator/>
      </w:r>
    </w:p>
  </w:endnote>
  <w:endnote w:type="continuationSeparator" w:id="0">
    <w:p w14:paraId="1067D102" w14:textId="77777777" w:rsidR="00C46998" w:rsidRDefault="00C4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F696" w14:textId="77777777" w:rsidR="00C46998" w:rsidRDefault="00C46998">
      <w:r>
        <w:separator/>
      </w:r>
    </w:p>
  </w:footnote>
  <w:footnote w:type="continuationSeparator" w:id="0">
    <w:p w14:paraId="5E3FFA5C" w14:textId="77777777" w:rsidR="00C46998" w:rsidRDefault="00C46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0019B3"/>
    <w:rsid w:val="00132BFE"/>
    <w:rsid w:val="001445D3"/>
    <w:rsid w:val="00217C62"/>
    <w:rsid w:val="00697603"/>
    <w:rsid w:val="00715052"/>
    <w:rsid w:val="00A014A3"/>
    <w:rsid w:val="00C336CB"/>
    <w:rsid w:val="00C46998"/>
    <w:rsid w:val="00CF5F7A"/>
    <w:rsid w:val="00CF6D5E"/>
    <w:rsid w:val="00FA4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User</cp:lastModifiedBy>
  <cp:revision>87</cp:revision>
  <cp:lastPrinted>2017-05-25T08:10:00Z</cp:lastPrinted>
  <dcterms:created xsi:type="dcterms:W3CDTF">2017-09-12T09:12:00Z</dcterms:created>
  <dcterms:modified xsi:type="dcterms:W3CDTF">2023-05-08T11:15:00Z</dcterms:modified>
</cp:coreProperties>
</file>