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5F" w:rsidRPr="005C5921" w:rsidRDefault="0019225F" w:rsidP="0019225F">
      <w:pPr>
        <w:rPr>
          <w:rFonts w:ascii="GHEA Grapalat" w:eastAsia="Calibri" w:hAnsi="GHEA Grapalat"/>
          <w:color w:val="FF0000"/>
          <w:highlight w:val="yellow"/>
        </w:rPr>
      </w:pPr>
    </w:p>
    <w:p w:rsidR="007E16FF" w:rsidRPr="0095484C" w:rsidRDefault="007E16FF" w:rsidP="007E16FF">
      <w:pPr>
        <w:pStyle w:val="BodyText"/>
        <w:ind w:firstLine="567"/>
        <w:jc w:val="center"/>
        <w:rPr>
          <w:rFonts w:ascii="Arial Unicode" w:hAnsi="Arial Unicode" w:cs="Sylfaen"/>
          <w:b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b/>
          <w:i/>
          <w:sz w:val="20"/>
          <w:szCs w:val="20"/>
          <w:lang w:val="ru-RU"/>
        </w:rPr>
        <w:t>ЗАЯВЛЕНИЕ</w:t>
      </w:r>
    </w:p>
    <w:p w:rsidR="007E16FF" w:rsidRPr="0095484C" w:rsidRDefault="007E16FF" w:rsidP="007E16FF">
      <w:pPr>
        <w:pStyle w:val="BodyText"/>
        <w:ind w:firstLine="567"/>
        <w:jc w:val="center"/>
        <w:rPr>
          <w:rFonts w:ascii="Arial Unicode" w:hAnsi="Arial Unicode" w:cs="Sylfaen"/>
          <w:b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b/>
          <w:i/>
          <w:sz w:val="20"/>
          <w:szCs w:val="20"/>
          <w:lang w:val="ru-RU"/>
        </w:rPr>
        <w:t>О ВОПРОСНИКЕ</w:t>
      </w:r>
    </w:p>
    <w:p w:rsidR="007E16FF" w:rsidRPr="0095484C" w:rsidRDefault="007E16FF" w:rsidP="007E16FF">
      <w:pPr>
        <w:pStyle w:val="BodyText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Этот текст заявления утверждается комиссией запроса котировок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Решением </w:t>
      </w:r>
      <w:r w:rsidRPr="0095484C">
        <w:rPr>
          <w:rFonts w:ascii="Arial Unicode" w:hAnsi="Arial Unicode" w:cs="Sylfaen"/>
          <w:i/>
          <w:sz w:val="20"/>
          <w:szCs w:val="20"/>
        </w:rPr>
        <w:t>N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1 от 9 января 2018 года опубликовано: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Согласно статье 27 Закона РА «О закупках»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Идентификатор запроса: </w:t>
      </w:r>
      <w:r w:rsidRPr="0095484C">
        <w:rPr>
          <w:rFonts w:ascii="Arial Unicode" w:hAnsi="Arial Unicode" w:cs="Sylfaen"/>
          <w:i/>
          <w:sz w:val="20"/>
          <w:szCs w:val="20"/>
        </w:rPr>
        <w:t>GB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-</w:t>
      </w:r>
      <w:r w:rsidRPr="0095484C">
        <w:rPr>
          <w:rFonts w:ascii="Arial Unicode" w:hAnsi="Arial Unicode" w:cs="Sylfaen"/>
          <w:i/>
          <w:sz w:val="20"/>
          <w:szCs w:val="20"/>
        </w:rPr>
        <w:t>MCC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-</w:t>
      </w:r>
      <w:r w:rsidRPr="0095484C">
        <w:rPr>
          <w:rFonts w:ascii="Arial Unicode" w:hAnsi="Arial Unicode" w:cs="Sylfaen"/>
          <w:i/>
          <w:sz w:val="20"/>
          <w:szCs w:val="20"/>
        </w:rPr>
        <w:t>GHSSZB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-2018/1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Заказчик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-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ГНКО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«Айраванк»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находящийся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в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Гегаркуникском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районе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Армении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на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улице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Айраванк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Центральная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4,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объя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вляет котировку, которая реализуется в один этап.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Избранному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Участнику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запроса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котировки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будет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предложено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заключить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договор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на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транспортные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услуги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(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далее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-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договор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).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Согласно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статье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7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Закона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закупках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любое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лицо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независимо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от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того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являет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Чтобы получить запрос на котировку, необходимо обратиться к Клиенту до 12-го числа 7-го дня со дня, следующего за объявлением этого объявления.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95484C">
        <w:rPr>
          <w:rFonts w:ascii="Arial" w:hAnsi="Arial" w:cs="Arial"/>
          <w:i/>
          <w:sz w:val="20"/>
          <w:szCs w:val="20"/>
          <w:lang w:val="ru-RU"/>
        </w:rPr>
        <w:t>​​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п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олучения электронного заявления.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Не получение приглашения не ограничивает право участника участвовать в этой процедуре.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Котировочные запросы должны быть отправлены в </w:t>
      </w:r>
      <w:proofErr w:type="spellStart"/>
      <w:r w:rsidRPr="0095484C">
        <w:rPr>
          <w:rFonts w:ascii="Arial Unicode" w:hAnsi="Arial Unicode" w:cs="Sylfaen"/>
          <w:i/>
          <w:sz w:val="20"/>
          <w:szCs w:val="20"/>
        </w:rPr>
        <w:t>Hayravank</w:t>
      </w:r>
      <w:proofErr w:type="spellEnd"/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Sylfaen"/>
          <w:i/>
          <w:sz w:val="20"/>
          <w:szCs w:val="20"/>
        </w:rPr>
        <w:t>Central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4, Гегаркуникский регион, Армения, по адресу, указанному в 19:00 на 7-й день после дня, следующего за объявлением этого объявления. Предложения также могут быть представлены на английском или русском, помимо армянского.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Предложения будут открыты в Гегаркуникском районе, Айраванк Центральная улица 4, </w:t>
      </w:r>
      <w:r>
        <w:rPr>
          <w:rFonts w:ascii="Arial Unicode" w:hAnsi="Arial Unicode" w:cs="Sylfaen"/>
          <w:i/>
          <w:sz w:val="20"/>
          <w:szCs w:val="20"/>
          <w:lang w:val="ru-RU"/>
        </w:rPr>
        <w:t>2</w:t>
      </w:r>
      <w:r>
        <w:rPr>
          <w:rFonts w:ascii="Arial Unicode" w:hAnsi="Arial Unicode" w:cs="Sylfaen"/>
          <w:i/>
          <w:sz w:val="20"/>
          <w:szCs w:val="20"/>
        </w:rPr>
        <w:t>4</w:t>
      </w:r>
      <w:r w:rsidRPr="000449AB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ru-RU"/>
        </w:rPr>
        <w:t>декабря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2018 года, в 12:30.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Жалобы на эту процедуру должны быть представлены в Апелляционный совет по закупкам, </w:t>
      </w:r>
      <w:r w:rsidRPr="0095484C">
        <w:rPr>
          <w:rFonts w:ascii="Arial Unicode" w:hAnsi="Arial Unicode" w:cs="Sylfaen"/>
          <w:i/>
          <w:sz w:val="20"/>
          <w:szCs w:val="20"/>
        </w:rPr>
        <w:t>c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Arial Unicode" w:hAnsi="Arial Unicode" w:cs="Sylfaen"/>
          <w:i/>
          <w:sz w:val="20"/>
          <w:szCs w:val="20"/>
          <w:lang w:val="ru-RU"/>
        </w:rPr>
        <w:t>Для получения дополнительной информации об этом объявлении, пожалуйста, свяжитесь с Эрмином Сафаряном, секретарем Комиссии по оценке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     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Телефон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: 098418401</w:t>
      </w: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     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Тоже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.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почта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: </w:t>
      </w:r>
      <w:proofErr w:type="spellStart"/>
      <w:r w:rsidRPr="0095484C">
        <w:rPr>
          <w:rFonts w:ascii="Arial Unicode" w:hAnsi="Arial Unicode" w:cs="Sylfaen"/>
          <w:i/>
          <w:sz w:val="20"/>
          <w:szCs w:val="20"/>
        </w:rPr>
        <w:t>hermine</w:t>
      </w:r>
      <w:proofErr w:type="spellEnd"/>
      <w:r w:rsidRPr="0095484C">
        <w:rPr>
          <w:rFonts w:ascii="Arial Unicode" w:hAnsi="Arial Unicode" w:cs="Sylfaen"/>
          <w:i/>
          <w:sz w:val="20"/>
          <w:szCs w:val="20"/>
          <w:lang w:val="ru-RU"/>
        </w:rPr>
        <w:t>.</w:t>
      </w:r>
      <w:proofErr w:type="spellStart"/>
      <w:r w:rsidRPr="0095484C">
        <w:rPr>
          <w:rFonts w:ascii="Arial Unicode" w:hAnsi="Arial Unicode" w:cs="Sylfaen"/>
          <w:i/>
          <w:sz w:val="20"/>
          <w:szCs w:val="20"/>
        </w:rPr>
        <w:t>safaryan</w:t>
      </w:r>
      <w:proofErr w:type="spellEnd"/>
      <w:r w:rsidRPr="0095484C">
        <w:rPr>
          <w:rFonts w:ascii="Arial Unicode" w:hAnsi="Arial Unicode" w:cs="Sylfaen"/>
          <w:i/>
          <w:sz w:val="20"/>
          <w:szCs w:val="20"/>
          <w:lang w:val="ru-RU"/>
        </w:rPr>
        <w:t>.89@</w:t>
      </w:r>
      <w:r w:rsidRPr="0095484C">
        <w:rPr>
          <w:rFonts w:ascii="Arial Unicode" w:hAnsi="Arial Unicode" w:cs="Sylfaen"/>
          <w:i/>
          <w:sz w:val="20"/>
          <w:szCs w:val="20"/>
        </w:rPr>
        <w:t>mail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>.</w:t>
      </w:r>
      <w:proofErr w:type="spellStart"/>
      <w:r w:rsidRPr="0095484C">
        <w:rPr>
          <w:rFonts w:ascii="Arial Unicode" w:hAnsi="Arial Unicode" w:cs="Sylfaen"/>
          <w:i/>
          <w:sz w:val="20"/>
          <w:szCs w:val="20"/>
        </w:rPr>
        <w:t>ru</w:t>
      </w:r>
      <w:proofErr w:type="spellEnd"/>
    </w:p>
    <w:p w:rsidR="007E16FF" w:rsidRPr="0095484C" w:rsidRDefault="007E16FF" w:rsidP="007E16FF">
      <w:pPr>
        <w:pStyle w:val="BodyText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both"/>
        <w:rPr>
          <w:rFonts w:ascii="Arial Unicode" w:hAnsi="Arial Unicode" w:cs="Sylfaen"/>
          <w:i/>
          <w:sz w:val="20"/>
          <w:szCs w:val="20"/>
          <w:lang w:val="ru-RU"/>
        </w:rPr>
      </w:pPr>
      <w:r w:rsidRPr="0095484C">
        <w:rPr>
          <w:rFonts w:ascii="Calibri" w:hAnsi="Calibri" w:cs="Calibri"/>
          <w:i/>
          <w:sz w:val="20"/>
          <w:szCs w:val="20"/>
        </w:rPr>
        <w:t>                               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Клиент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,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«Средняя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школа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деревни</w:t>
      </w:r>
      <w:r w:rsidRPr="0095484C">
        <w:rPr>
          <w:rFonts w:ascii="Arial Unicode" w:hAnsi="Arial Unicode" w:cs="Sylfaen"/>
          <w:i/>
          <w:sz w:val="20"/>
          <w:szCs w:val="20"/>
          <w:lang w:val="ru-RU"/>
        </w:rPr>
        <w:t xml:space="preserve"> </w:t>
      </w:r>
      <w:r w:rsidRPr="0095484C">
        <w:rPr>
          <w:rFonts w:ascii="Arial Unicode" w:hAnsi="Arial Unicode" w:cs="Arial Unicode"/>
          <w:i/>
          <w:sz w:val="20"/>
          <w:szCs w:val="20"/>
          <w:lang w:val="ru-RU"/>
        </w:rPr>
        <w:t>Айраванк»</w:t>
      </w: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7E16FF" w:rsidRPr="0095484C" w:rsidRDefault="007E16FF" w:rsidP="007E16FF">
      <w:pPr>
        <w:pStyle w:val="BodyText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ru-RU"/>
        </w:rPr>
      </w:pPr>
    </w:p>
    <w:p w:rsidR="008706E5" w:rsidRPr="003A226E" w:rsidRDefault="008706E5" w:rsidP="00A22449">
      <w:pPr>
        <w:pStyle w:val="BodyTextIndent"/>
        <w:spacing w:line="240" w:lineRule="auto"/>
        <w:ind w:left="567" w:right="565" w:firstLine="0"/>
        <w:jc w:val="center"/>
      </w:pPr>
    </w:p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F2" w:rsidRDefault="00C335F2" w:rsidP="007937AA">
      <w:r>
        <w:separator/>
      </w:r>
    </w:p>
  </w:endnote>
  <w:endnote w:type="continuationSeparator" w:id="0">
    <w:p w:rsidR="00C335F2" w:rsidRDefault="00C335F2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F2" w:rsidRDefault="00C335F2" w:rsidP="007937AA">
      <w:r>
        <w:separator/>
      </w:r>
    </w:p>
  </w:footnote>
  <w:footnote w:type="continuationSeparator" w:id="0">
    <w:p w:rsidR="00C335F2" w:rsidRDefault="00C335F2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60C35"/>
    <w:rsid w:val="000A17B4"/>
    <w:rsid w:val="000C5E44"/>
    <w:rsid w:val="00107AD5"/>
    <w:rsid w:val="00182361"/>
    <w:rsid w:val="0019225F"/>
    <w:rsid w:val="00242E9F"/>
    <w:rsid w:val="00267169"/>
    <w:rsid w:val="00284022"/>
    <w:rsid w:val="002B24F9"/>
    <w:rsid w:val="0037324E"/>
    <w:rsid w:val="003A057B"/>
    <w:rsid w:val="003A226E"/>
    <w:rsid w:val="003C523C"/>
    <w:rsid w:val="003D7776"/>
    <w:rsid w:val="003F52E6"/>
    <w:rsid w:val="00443657"/>
    <w:rsid w:val="0055615A"/>
    <w:rsid w:val="00635A64"/>
    <w:rsid w:val="00651324"/>
    <w:rsid w:val="0067435F"/>
    <w:rsid w:val="00731D2E"/>
    <w:rsid w:val="0073513D"/>
    <w:rsid w:val="00742F89"/>
    <w:rsid w:val="007937AA"/>
    <w:rsid w:val="007A1808"/>
    <w:rsid w:val="007E16FF"/>
    <w:rsid w:val="0080227A"/>
    <w:rsid w:val="00807C1A"/>
    <w:rsid w:val="008706E5"/>
    <w:rsid w:val="00871FBD"/>
    <w:rsid w:val="009028F7"/>
    <w:rsid w:val="00907869"/>
    <w:rsid w:val="00923279"/>
    <w:rsid w:val="009643D3"/>
    <w:rsid w:val="0099710C"/>
    <w:rsid w:val="009D563C"/>
    <w:rsid w:val="009E0ED1"/>
    <w:rsid w:val="00A07453"/>
    <w:rsid w:val="00A22449"/>
    <w:rsid w:val="00A41493"/>
    <w:rsid w:val="00AB095A"/>
    <w:rsid w:val="00B34EE1"/>
    <w:rsid w:val="00B40286"/>
    <w:rsid w:val="00B953C7"/>
    <w:rsid w:val="00C335F2"/>
    <w:rsid w:val="00C932F4"/>
    <w:rsid w:val="00C95C6C"/>
    <w:rsid w:val="00CB72E8"/>
    <w:rsid w:val="00D042CD"/>
    <w:rsid w:val="00D1610E"/>
    <w:rsid w:val="00D1794C"/>
    <w:rsid w:val="00DE3AE5"/>
    <w:rsid w:val="00E6218E"/>
    <w:rsid w:val="00E770B6"/>
    <w:rsid w:val="00E82911"/>
    <w:rsid w:val="00ED1FE4"/>
    <w:rsid w:val="00ED7259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2018-11-26T10:10:00Z</dcterms:created>
  <dcterms:modified xsi:type="dcterms:W3CDTF">2018-12-17T10:24:00Z</dcterms:modified>
</cp:coreProperties>
</file>