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086E" w14:textId="77777777" w:rsidR="00831206" w:rsidRDefault="00831206" w:rsidP="004D4258">
      <w:pPr>
        <w:pStyle w:val="af3"/>
        <w:jc w:val="center"/>
        <w:rPr>
          <w:rFonts w:ascii="GHEA Grapalat" w:hAnsi="GHEA Grapalat"/>
          <w:lang w:val="af-ZA"/>
        </w:rPr>
      </w:pPr>
    </w:p>
    <w:p w14:paraId="3D195EFE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115E19DB" w14:textId="77777777" w:rsidR="00831206" w:rsidRDefault="00831206" w:rsidP="00831206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6212A96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00F9626F" w14:textId="0AEC65F5" w:rsidR="00831206" w:rsidRDefault="00831206" w:rsidP="00831206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 xml:space="preserve">Процедура закупки организована на основании </w:t>
      </w:r>
      <w:r w:rsidR="009C0FF2">
        <w:rPr>
          <w:rFonts w:ascii="GHEA Grapalat" w:hAnsi="GHEA Grapalat"/>
          <w:i/>
          <w:color w:val="FF0000"/>
          <w:sz w:val="22"/>
          <w:szCs w:val="22"/>
        </w:rPr>
        <w:t>2</w:t>
      </w:r>
      <w:r>
        <w:rPr>
          <w:rFonts w:ascii="GHEA Grapalat" w:hAnsi="GHEA Grapalat"/>
          <w:i/>
          <w:color w:val="FF0000"/>
          <w:sz w:val="22"/>
          <w:szCs w:val="22"/>
        </w:rPr>
        <w:t>- ого пункта части 6 статьи 15 Закона РА "О закупках"</w:t>
      </w:r>
    </w:p>
    <w:p w14:paraId="7A41EE86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4E687F58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19EA314E" w14:textId="6C40776A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6E05A1">
        <w:rPr>
          <w:rFonts w:ascii="GHEA Grapalat" w:hAnsi="GHEA Grapalat"/>
          <w:sz w:val="22"/>
          <w:szCs w:val="22"/>
          <w:highlight w:val="yellow"/>
          <w:lang w:val="ru-RU"/>
        </w:rPr>
        <w:t>__</w:t>
      </w:r>
      <w:r w:rsidR="00325043">
        <w:rPr>
          <w:rFonts w:ascii="GHEA Grapalat" w:hAnsi="GHEA Grapalat"/>
          <w:sz w:val="22"/>
          <w:szCs w:val="22"/>
          <w:highlight w:val="yellow"/>
          <w:lang w:val="ru-RU"/>
        </w:rPr>
        <w:t>11</w:t>
      </w:r>
      <w:r w:rsidR="006353BF">
        <w:rPr>
          <w:rFonts w:ascii="GHEA Grapalat" w:hAnsi="GHEA Grapalat"/>
          <w:sz w:val="22"/>
          <w:szCs w:val="22"/>
          <w:highlight w:val="yellow"/>
        </w:rPr>
        <w:t xml:space="preserve"> </w:t>
      </w:r>
      <w:r w:rsidRPr="006E05A1">
        <w:rPr>
          <w:rFonts w:ascii="GHEA Grapalat" w:hAnsi="GHEA Grapalat"/>
          <w:sz w:val="22"/>
          <w:szCs w:val="22"/>
          <w:highlight w:val="yellow"/>
          <w:lang w:val="ru-RU"/>
        </w:rPr>
        <w:t>_</w:t>
      </w:r>
      <w:r w:rsidR="006E05A1" w:rsidRPr="006E05A1">
        <w:rPr>
          <w:rFonts w:ascii="GHEA Grapalat" w:hAnsi="GHEA Grapalat"/>
          <w:sz w:val="22"/>
          <w:szCs w:val="22"/>
        </w:rPr>
        <w:t xml:space="preserve"> </w:t>
      </w:r>
      <w:r w:rsidR="006353BF">
        <w:rPr>
          <w:rFonts w:ascii="GHEA Grapalat" w:hAnsi="GHEA Grapalat"/>
          <w:sz w:val="22"/>
          <w:szCs w:val="22"/>
          <w:lang w:val="ru-RU"/>
        </w:rPr>
        <w:t>мая</w:t>
      </w:r>
      <w:r w:rsidRPr="006E05A1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E05A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202</w:t>
      </w:r>
      <w:r w:rsidR="006353BF">
        <w:rPr>
          <w:rFonts w:ascii="GHEA Grapalat" w:hAnsi="GHEA Grapalat"/>
          <w:b/>
          <w:sz w:val="22"/>
          <w:szCs w:val="22"/>
          <w:lang w:val="ru-RU"/>
        </w:rPr>
        <w:t>6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48724B1C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63B85FD7" w14:textId="57122CC5" w:rsidR="00831206" w:rsidRPr="00831206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BMXTsDzB-2</w:t>
      </w:r>
      <w:r w:rsidR="006353BF">
        <w:rPr>
          <w:rFonts w:ascii="GHEA Grapalat" w:hAnsi="GHEA Grapalat"/>
          <w:b/>
          <w:sz w:val="22"/>
          <w:szCs w:val="22"/>
        </w:rPr>
        <w:t>6/28</w:t>
      </w:r>
    </w:p>
    <w:p w14:paraId="33419FCF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779CA6D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4FB92307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0C81A1E2" w14:textId="2C7D4D95" w:rsidR="00831206" w:rsidRPr="001C6C3C" w:rsidRDefault="00831206" w:rsidP="00831206">
      <w:pPr>
        <w:jc w:val="both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</w:t>
      </w:r>
      <w:r>
        <w:rPr>
          <w:rFonts w:ascii="GHEA Grapalat" w:hAnsi="GHEA Grapalat"/>
          <w:sz w:val="22"/>
          <w:szCs w:val="22"/>
          <w:lang w:val="ru-RU"/>
        </w:rPr>
        <w:t>г.Ереван, ул Тиграна Мец 65А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с целью </w:t>
      </w:r>
      <w:r w:rsidRPr="00117A2E">
        <w:rPr>
          <w:rFonts w:ascii="GHEA Grapalat" w:hAnsi="GHEA Grapalat"/>
          <w:sz w:val="22"/>
          <w:szCs w:val="22"/>
          <w:lang w:val="ru-RU"/>
        </w:rPr>
        <w:t>определения потенциальных участников</w:t>
      </w:r>
      <w:r w:rsidRPr="00117A2E">
        <w:rPr>
          <w:rFonts w:ascii="GHEA Grapalat" w:hAnsi="GHEA Grapalat" w:cs="Sylfaen"/>
          <w:sz w:val="22"/>
          <w:szCs w:val="22"/>
        </w:rPr>
        <w:t xml:space="preserve"> </w:t>
      </w:r>
      <w:r w:rsidRPr="00117A2E">
        <w:rPr>
          <w:rFonts w:ascii="GHEA Grapalat" w:hAnsi="GHEA Grapalat" w:cs="Sylfaen"/>
          <w:sz w:val="22"/>
          <w:szCs w:val="22"/>
          <w:lang w:val="ru-RU"/>
        </w:rPr>
        <w:t>для</w:t>
      </w:r>
      <w:r w:rsidRPr="00117A2E">
        <w:rPr>
          <w:rFonts w:ascii="GHEA Grapalat" w:hAnsi="GHEA Grapalat" w:cs="Sylfaen"/>
          <w:sz w:val="22"/>
          <w:szCs w:val="22"/>
        </w:rPr>
        <w:t xml:space="preserve"> приобретения </w:t>
      </w:r>
      <w:r w:rsidRPr="001C6C3C">
        <w:rPr>
          <w:rFonts w:ascii="GHEA Grapalat" w:hAnsi="GHEA Grapalat" w:cs="Sylfaen"/>
          <w:sz w:val="22"/>
          <w:szCs w:val="22"/>
        </w:rPr>
        <w:t>услуг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sz w:val="22"/>
        </w:rPr>
        <w:t>Международн</w:t>
      </w:r>
      <w:r w:rsidR="006353BF">
        <w:rPr>
          <w:sz w:val="22"/>
          <w:lang w:val="ru-RU"/>
        </w:rPr>
        <w:t>ого</w:t>
      </w:r>
      <w:r w:rsidR="006353BF" w:rsidRPr="000323D3">
        <w:rPr>
          <w:sz w:val="22"/>
        </w:rPr>
        <w:t xml:space="preserve"> </w:t>
      </w:r>
      <w:r w:rsidR="006353BF" w:rsidRPr="000323D3">
        <w:rPr>
          <w:sz w:val="22"/>
          <w:lang w:val="ru-RU"/>
        </w:rPr>
        <w:t>консультант</w:t>
      </w:r>
      <w:r w:rsidR="006353BF">
        <w:rPr>
          <w:sz w:val="22"/>
          <w:lang w:val="ru-RU"/>
        </w:rPr>
        <w:t>а</w:t>
      </w:r>
      <w:r w:rsidR="006353BF" w:rsidRPr="000323D3">
        <w:rPr>
          <w:sz w:val="22"/>
        </w:rPr>
        <w:t xml:space="preserve"> по схеме агроэкологических платежей (AEPS)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в рамках</w:t>
      </w:r>
      <w:r>
        <w:rPr>
          <w:rFonts w:ascii="GHEA Grapalat" w:hAnsi="GHEA Grapalat" w:cs="Sylfaen"/>
          <w:sz w:val="22"/>
          <w:szCs w:val="22"/>
          <w:lang w:val="ru-RU"/>
        </w:rPr>
        <w:t xml:space="preserve"> программы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45597">
        <w:rPr>
          <w:rFonts w:ascii="Sylfaen" w:hAnsi="Sylfaen"/>
          <w:b/>
          <w:bCs/>
          <w:color w:val="000000"/>
          <w:sz w:val="22"/>
          <w:szCs w:val="22"/>
          <w:lang w:val="ru-RU"/>
        </w:rPr>
        <w:t>Сохранение и устойчивое управление земельными ресурсами и особо  ценными экосистемами в бассейне озера Севан для получения многочисленных выгод</w:t>
      </w:r>
      <w:r>
        <w:rPr>
          <w:rFonts w:ascii="Sylfaen" w:hAnsi="Sylfaen"/>
          <w:b/>
          <w:bCs/>
          <w:color w:val="000000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объявляет процедуру предварительной квалификации </w:t>
      </w:r>
      <w:r>
        <w:rPr>
          <w:rFonts w:ascii="GHEA Grapalat" w:hAnsi="GHEA Grapalat"/>
          <w:sz w:val="22"/>
          <w:szCs w:val="22"/>
          <w:lang w:val="ru-RU"/>
        </w:rPr>
        <w:t>открытого конкурса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по следующим лотам</w:t>
      </w:r>
    </w:p>
    <w:p w14:paraId="724A96D8" w14:textId="77777777" w:rsidR="004A4970" w:rsidRPr="00CA0534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CA0534" w14:paraId="77DFDCB1" w14:textId="77777777" w:rsidTr="004A4970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D5" w14:textId="1E631D00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27AF812E" w:rsidR="004A4970" w:rsidRPr="0084612A" w:rsidRDefault="0084612A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Предмет закупки</w:t>
            </w:r>
          </w:p>
        </w:tc>
      </w:tr>
      <w:tr w:rsidR="004A4970" w:rsidRPr="00CA0534" w14:paraId="35747085" w14:textId="77777777" w:rsidTr="004A4970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CEC" w14:textId="307F5304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390EB56D" w:rsidR="004A4970" w:rsidRPr="00CA0534" w:rsidRDefault="006353BF" w:rsidP="006353BF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sz w:val="22"/>
                <w:lang w:val="ru-RU"/>
              </w:rPr>
              <w:t>Услуги м</w:t>
            </w:r>
            <w:r>
              <w:rPr>
                <w:sz w:val="22"/>
              </w:rPr>
              <w:t>еждународн</w:t>
            </w:r>
            <w:r>
              <w:rPr>
                <w:sz w:val="22"/>
                <w:lang w:val="ru-RU"/>
              </w:rPr>
              <w:t>ого</w:t>
            </w:r>
            <w:r w:rsidRPr="000323D3">
              <w:rPr>
                <w:sz w:val="22"/>
              </w:rPr>
              <w:t xml:space="preserve"> </w:t>
            </w:r>
            <w:r w:rsidRPr="000323D3">
              <w:rPr>
                <w:sz w:val="22"/>
                <w:lang w:val="ru-RU"/>
              </w:rPr>
              <w:t>консультант</w:t>
            </w:r>
            <w:r>
              <w:rPr>
                <w:sz w:val="22"/>
                <w:lang w:val="ru-RU"/>
              </w:rPr>
              <w:t xml:space="preserve">а </w:t>
            </w:r>
            <w:r w:rsidRPr="000323D3">
              <w:rPr>
                <w:sz w:val="22"/>
              </w:rPr>
              <w:t xml:space="preserve"> по схеме агроэкологических платежей (AEPS)</w:t>
            </w:r>
          </w:p>
        </w:tc>
      </w:tr>
    </w:tbl>
    <w:p w14:paraId="4F0D6F9D" w14:textId="77777777" w:rsidR="004A4970" w:rsidRPr="00CA0534" w:rsidRDefault="004A4970" w:rsidP="004A4970">
      <w:pPr>
        <w:spacing w:line="252" w:lineRule="auto"/>
        <w:rPr>
          <w:rFonts w:ascii="GHEA Grapalat" w:hAnsi="GHEA Grapalat"/>
          <w:b/>
          <w:bCs/>
        </w:rPr>
        <w:sectPr w:rsidR="004A4970" w:rsidRPr="00CA0534" w:rsidSect="004A4970">
          <w:footerReference w:type="default" r:id="rId7"/>
          <w:pgSz w:w="11906" w:h="16838"/>
          <w:pgMar w:top="1008" w:right="926" w:bottom="630" w:left="1627" w:header="720" w:footer="144" w:gutter="0"/>
          <w:cols w:space="720"/>
        </w:sectPr>
      </w:pPr>
    </w:p>
    <w:p w14:paraId="26C1599D" w14:textId="77777777" w:rsidR="00825205" w:rsidRDefault="00825205" w:rsidP="00E53298">
      <w:pPr>
        <w:spacing w:after="120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56606431" w14:textId="77777777" w:rsidR="00CE12E3" w:rsidRPr="000323D3" w:rsidRDefault="00CE12E3" w:rsidP="00CE12E3">
      <w:pPr>
        <w:spacing w:before="240" w:after="240"/>
        <w:jc w:val="center"/>
        <w:rPr>
          <w:rFonts w:ascii="Calibri" w:hAnsi="Calibri" w:cs="Calibri"/>
          <w:sz w:val="28"/>
          <w:szCs w:val="28"/>
        </w:rPr>
      </w:pPr>
      <w:r w:rsidRPr="000323D3">
        <w:rPr>
          <w:sz w:val="28"/>
        </w:rPr>
        <w:t xml:space="preserve">Техническое задание для </w:t>
      </w:r>
      <w:r w:rsidRPr="000323D3">
        <w:rPr>
          <w:sz w:val="28"/>
          <w:lang w:val="ru-RU"/>
        </w:rPr>
        <w:t>международного</w:t>
      </w:r>
      <w:r w:rsidRPr="000323D3">
        <w:rPr>
          <w:sz w:val="28"/>
        </w:rPr>
        <w:t xml:space="preserve"> консультанта</w:t>
      </w:r>
    </w:p>
    <w:p w14:paraId="4AF080FE" w14:textId="77777777" w:rsidR="00CE12E3" w:rsidRPr="000323D3" w:rsidRDefault="00CE12E3" w:rsidP="00CE12E3">
      <w:pPr>
        <w:spacing w:before="240" w:after="240"/>
        <w:jc w:val="center"/>
        <w:rPr>
          <w:rFonts w:ascii="Calibri" w:hAnsi="Calibri" w:cs="Calibri"/>
          <w:sz w:val="28"/>
          <w:szCs w:val="28"/>
        </w:rPr>
      </w:pPr>
    </w:p>
    <w:p w14:paraId="07917E46" w14:textId="77777777" w:rsidR="00CE12E3" w:rsidRPr="000323D3" w:rsidRDefault="00CE12E3" w:rsidP="00CE12E3">
      <w:pPr>
        <w:spacing w:before="120" w:after="120"/>
        <w:rPr>
          <w:rFonts w:ascii="Calibri" w:hAnsi="Calibri" w:cs="Calibri"/>
          <w:bCs/>
          <w:sz w:val="22"/>
          <w:szCs w:val="22"/>
        </w:rPr>
      </w:pPr>
      <w:r w:rsidRPr="000323D3">
        <w:rPr>
          <w:sz w:val="22"/>
        </w:rPr>
        <w:t>Описание услуг/работ:</w:t>
      </w:r>
      <w:r w:rsidRPr="000323D3">
        <w:rPr>
          <w:sz w:val="22"/>
        </w:rPr>
        <w:tab/>
        <w:t xml:space="preserve">Международный </w:t>
      </w:r>
      <w:r w:rsidRPr="000323D3">
        <w:rPr>
          <w:sz w:val="22"/>
          <w:lang w:val="ru-RU"/>
        </w:rPr>
        <w:t>консультант</w:t>
      </w:r>
      <w:r w:rsidRPr="000323D3">
        <w:rPr>
          <w:sz w:val="22"/>
        </w:rPr>
        <w:t xml:space="preserve"> по схеме агроэкологических платежей (AEPS)</w:t>
      </w:r>
    </w:p>
    <w:p w14:paraId="73A5E96A" w14:textId="77777777" w:rsidR="00CE12E3" w:rsidRPr="000323D3" w:rsidRDefault="00CE12E3" w:rsidP="00CE12E3">
      <w:pPr>
        <w:spacing w:before="120" w:after="120"/>
        <w:ind w:left="2880" w:hanging="2880"/>
        <w:rPr>
          <w:rFonts w:ascii="Calibri" w:hAnsi="Calibri" w:cs="Calibri"/>
          <w:bCs/>
          <w:color w:val="000000"/>
          <w:sz w:val="22"/>
          <w:szCs w:val="22"/>
        </w:rPr>
      </w:pPr>
      <w:r w:rsidRPr="000323D3">
        <w:rPr>
          <w:sz w:val="22"/>
        </w:rPr>
        <w:t>Название проекта:</w:t>
      </w:r>
      <w:r w:rsidRPr="000323D3">
        <w:rPr>
          <w:sz w:val="22"/>
        </w:rPr>
        <w:tab/>
        <w:t>«Сохранение и устойчивое управление земельными ресурсами и экосистемами высокой ценности в бассейне озера Севан для получения множественных выгод»</w:t>
      </w:r>
    </w:p>
    <w:p w14:paraId="3EF88B3B" w14:textId="77777777" w:rsidR="00CE12E3" w:rsidRPr="000323D3" w:rsidRDefault="00CE12E3" w:rsidP="00CE12E3">
      <w:pPr>
        <w:pStyle w:val="af1"/>
        <w:spacing w:before="120"/>
        <w:ind w:left="2880" w:hanging="2880"/>
        <w:rPr>
          <w:rFonts w:ascii="Calibri" w:hAnsi="Calibri" w:cs="Calibri"/>
          <w:bCs/>
          <w:color w:val="000000"/>
          <w:sz w:val="22"/>
          <w:szCs w:val="22"/>
          <w:lang w:val="ru-RU"/>
        </w:rPr>
      </w:pPr>
      <w:r w:rsidRPr="000323D3">
        <w:rPr>
          <w:sz w:val="22"/>
          <w:lang w:val="ru-RU"/>
        </w:rPr>
        <w:t>Место выполнения:</w:t>
      </w:r>
      <w:r w:rsidRPr="000323D3">
        <w:rPr>
          <w:sz w:val="22"/>
          <w:lang w:val="ru-RU"/>
        </w:rPr>
        <w:tab/>
        <w:t>Удаленно, с командировками в Армению, в офлайн- и онлайн-формате</w:t>
      </w:r>
    </w:p>
    <w:p w14:paraId="60023CDC" w14:textId="77777777" w:rsidR="00CE12E3" w:rsidRPr="000323D3" w:rsidRDefault="00CE12E3" w:rsidP="00CE12E3">
      <w:pPr>
        <w:spacing w:before="120" w:after="120"/>
        <w:ind w:left="2880" w:hanging="2880"/>
        <w:rPr>
          <w:rFonts w:ascii="Calibri" w:hAnsi="Calibri" w:cs="Calibri"/>
          <w:sz w:val="22"/>
          <w:szCs w:val="22"/>
          <w:u w:val="single"/>
        </w:rPr>
      </w:pPr>
      <w:r w:rsidRPr="000323D3">
        <w:rPr>
          <w:sz w:val="22"/>
        </w:rPr>
        <w:t>Продолжительность:</w:t>
      </w:r>
      <w:r w:rsidRPr="000323D3">
        <w:rPr>
          <w:sz w:val="22"/>
        </w:rPr>
        <w:tab/>
        <w:t>Консультант будет привлечен на краткосрочной основе на срок до 30 рабочих дней в течение 12-месячного периода</w:t>
      </w:r>
    </w:p>
    <w:p w14:paraId="50E5A960" w14:textId="77777777" w:rsidR="00CE12E3" w:rsidRPr="000323D3" w:rsidRDefault="00CE12E3" w:rsidP="00CE12E3">
      <w:pPr>
        <w:spacing w:before="120" w:after="120"/>
        <w:rPr>
          <w:rFonts w:ascii="Arial" w:hAnsi="Arial"/>
          <w:sz w:val="22"/>
          <w:u w:val="single"/>
        </w:rPr>
      </w:pPr>
      <w:r w:rsidRPr="000323D3">
        <w:rPr>
          <w:sz w:val="22"/>
          <w:u w:val="single"/>
        </w:rPr>
        <w:t>Желаемая дата начала     с даты подписания контракта</w:t>
      </w:r>
    </w:p>
    <w:p w14:paraId="159F9F78" w14:textId="77777777" w:rsidR="00CE12E3" w:rsidRPr="000323D3" w:rsidRDefault="00CE12E3" w:rsidP="00CE12E3">
      <w:pPr>
        <w:spacing w:before="120" w:after="120"/>
        <w:rPr>
          <w:rFonts w:ascii="Arial" w:hAnsi="Arial"/>
          <w:sz w:val="22"/>
          <w:u w:val="single"/>
        </w:rPr>
      </w:pPr>
    </w:p>
    <w:p w14:paraId="27B57F09" w14:textId="77777777" w:rsidR="00CE12E3" w:rsidRPr="000323D3" w:rsidRDefault="00CE12E3" w:rsidP="00CE12E3">
      <w:pPr>
        <w:spacing w:before="120" w:after="120"/>
        <w:rPr>
          <w:rFonts w:cs="Calibri"/>
          <w:bCs/>
        </w:rPr>
      </w:pPr>
      <w:r w:rsidRPr="000323D3">
        <w:t>ИСХОДНАЯ ИНФОРМАЦИЯ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CE12E3" w:rsidRPr="000323D3" w14:paraId="47BAC9B6" w14:textId="77777777" w:rsidTr="00920493">
        <w:trPr>
          <w:trHeight w:val="485"/>
        </w:trPr>
        <w:tc>
          <w:tcPr>
            <w:tcW w:w="9828" w:type="dxa"/>
          </w:tcPr>
          <w:p w14:paraId="78D737D6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Финансируемый ПРООН–ГЭФ проект «Сохранение и устойчивое управление земельными ресурсами и экосистемами высокой ценности в бассейне озера Севан для получения множественных выгод» направлен на продвижение нейтральности деградации земель (</w:t>
            </w:r>
            <w:r w:rsidRPr="000323D3">
              <w:t>LDN</w:t>
            </w:r>
            <w:r w:rsidRPr="000323D3">
              <w:rPr>
                <w:lang w:val="ru-RU"/>
              </w:rPr>
              <w:t>), укрепление сохранения биоразнообразия и поддержку устойчивых источников средств к существованию в бассейне озера Севан в Армении посредством интегрированного ландшафтного подхода. Проект поддерживает обязательства Армении в рамках Конвенции ООН по борьбе с опустыниванием (</w:t>
            </w:r>
            <w:r w:rsidRPr="000323D3">
              <w:t>UNCCD</w:t>
            </w:r>
            <w:r w:rsidRPr="000323D3">
              <w:rPr>
                <w:lang w:val="ru-RU"/>
              </w:rPr>
              <w:t>) и Конвенции о биологическом разнообразии (</w:t>
            </w:r>
            <w:r w:rsidRPr="000323D3">
              <w:t>CBD</w:t>
            </w:r>
            <w:r w:rsidRPr="000323D3">
              <w:rPr>
                <w:lang w:val="ru-RU"/>
              </w:rPr>
              <w:t>).</w:t>
            </w:r>
          </w:p>
          <w:p w14:paraId="7385F617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В рамках данного подхода проект предусматривает разработку и пилотное внедрение Схемы агроэкологических платежей (</w:t>
            </w:r>
            <w:r w:rsidRPr="000323D3">
              <w:t>AEPS</w:t>
            </w:r>
            <w:r w:rsidRPr="000323D3">
              <w:rPr>
                <w:lang w:val="ru-RU"/>
              </w:rPr>
              <w:t xml:space="preserve">) как стимулирующего механизма, призванного побудить фермеров и местные сообщества применять устойчивые методы управления земельными ресурсами, благоприятные для биоразнообразия и совместимые с </w:t>
            </w:r>
            <w:r w:rsidRPr="000323D3">
              <w:t>LDN</w:t>
            </w:r>
            <w:r w:rsidRPr="000323D3">
              <w:rPr>
                <w:lang w:val="ru-RU"/>
              </w:rPr>
              <w:t xml:space="preserve">, при обеспечении экономической эффективности, институциональной осуществимости и долгосрочной устойчивости. Ожидается, что </w:t>
            </w:r>
            <w:r w:rsidRPr="000323D3">
              <w:t>AEPS</w:t>
            </w:r>
            <w:r w:rsidRPr="000323D3">
              <w:rPr>
                <w:lang w:val="ru-RU"/>
              </w:rPr>
              <w:t xml:space="preserve"> будет экологически эффективной, социально инклюзивной и масштабируемой на национальном уровне.</w:t>
            </w:r>
          </w:p>
          <w:p w14:paraId="753EB92D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Пятилетний проект (2024–2028 гг.) охватит Гегаркуникскую и Вайоцдзорскую области, с демонстрационными площадками в общинах Мартуни, Варденис, Шогакат, Ехегис, Вайк и Джермук. Он будет направлен на устранение прямых факторов деградации земель и утраты биоразнообразия посредством устойчивых методов сельского хозяйства и управления земельными ресурсами, а также на апробацию схемы агроэкологических платежей и дополнительных мер в тесном сотрудничестве с национальными партнерами. В проекте особое внимание уделяется местным сообществам за счет стимулирования перехода от разрушительных практик к улучшению связности экосистем и коридоров миграции диких животных.</w:t>
            </w:r>
          </w:p>
          <w:p w14:paraId="0252F80D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Проект организован по четырем компонентам и связанным с ними результатам, направленным на поддержку условий, необходимых для эффективной охраны и устойчивого управления земельными, водными и биологическими ресурсами на ландшафтном уровне.</w:t>
            </w:r>
          </w:p>
          <w:p w14:paraId="4402B236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1. Продвижение нейтральности деградации земель (LDN) в ландшафте бассейна озера Севан для повышения продуктивности и экологической устойчивости</w:t>
            </w:r>
          </w:p>
          <w:p w14:paraId="367B90E5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1.1. LDN в Гегаркуникской и Вайоцдзорской областях продвигается посредством интегрированных межсекторальных ландшафтных подходов.</w:t>
            </w:r>
          </w:p>
          <w:p w14:paraId="3D72726A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 xml:space="preserve">Этот компонент поддержит Гегаркуникскую и Вайоцдзорскую области в определении добровольных целевых показателей LDN, которые вносят вклад в национальную цель Армении по LDN, установленную постановлением Правительства об утверждении национальной программы LDN. Он дополнит текущие усилия правительства путем продвижения подходов, согласованных с LDN, в </w:t>
            </w:r>
            <w:r w:rsidRPr="000323D3">
              <w:rPr>
                <w:sz w:val="22"/>
              </w:rPr>
              <w:lastRenderedPageBreak/>
              <w:t>общинах бассейна озера Севан через интегрированное планирование землепользования, одновременно усиливая учет вопросов биоразнообразия на прилегающих территориях. Компонент направлен на перевод 165 800 га под устойчивые методы управления земельными ресурсами, совместимые с LDN, включая 150 000 га пастбищ, 8 000 га лесов и 10 000 га пахотных земель.</w:t>
            </w:r>
          </w:p>
          <w:p w14:paraId="6A9C2273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02E27CB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2. Обеспечение сохранения биоразнообразия и критически важных местообитаний для предотвращения ухудшения экосистемных услуг в пределах ландшафта бассейна озера Севан</w:t>
            </w:r>
          </w:p>
          <w:p w14:paraId="45D7DB7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2.1. Состояние биоразнообразия в Национальном парке «Севан» (147 456 га) обеспечено за счет укрепления потенциала охраняемой территории для реагирования на ключевые угрозы глобально значимым видам и местообитаниям в пределах ООПТ/ключевой территории биоразнообразия (PA/KBA), являющейся опорой ландшафта бассейна озера Севан.</w:t>
            </w:r>
          </w:p>
          <w:p w14:paraId="050A38CD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br/>
              <w:t>Результат 2.2. Проведены оценки сохранения биоразнообразия и предложены механизмы для горячих точек биоразнообразия в ландшафте бассейна озера Севан за пределами охраняемой территории.</w:t>
            </w:r>
          </w:p>
          <w:p w14:paraId="7431C42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Этот компонент основан на двух взаимодополняющих подходах:</w:t>
            </w:r>
          </w:p>
          <w:p w14:paraId="343FB29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(i) сохранение экологической целостности ключевых видов и высокоценных местообитаний в Национальном парке «Севан», который является опорой более широкого ландшафта бассейна озера Севан; и</w:t>
            </w:r>
          </w:p>
          <w:p w14:paraId="0AB20B6B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br/>
              <w:t>(ii) учет ценностей биоразнообразия в окружающем производственном ландшафте и содействие их интеграции в более широкое управление ландшафтом, тем самым поддерживая экосистемные услуги, от которых зависят средства к существованию местного населения. Проект укрепит соответствующие органы посредством обучения и практической поддержки для применения протоколов мониторинга местообитаний и улучшения научно обоснованного управления биоразнообразием.</w:t>
            </w:r>
          </w:p>
          <w:p w14:paraId="6B6CB7D3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44D4FD15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3. Продвижение устойчивого, благоприятного для биоразнообразия экономического развития и стимулирующих механизмов для местных сообществ в ландшафте бассейна озера Севан</w:t>
            </w:r>
          </w:p>
          <w:p w14:paraId="39FDE9F8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3.1. В производственном ландшафте Севана продвигаются практики устойчивого управления земельными ресурсами (SLM), благоприятные для биоразнообразия и совместимые с LDN.</w:t>
            </w:r>
          </w:p>
          <w:p w14:paraId="5D0592AD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Проект будет продвигать природоположительные решения в пределах и вокруг охраняемых территорий, ключевых территорий биоразнообразия (KBAs), важных орнитологических территорий (IBAs) и зон экологических коридоров путем предоставления финансовых стимулов для внедрения чувствительных к биоразнообразию и совместимых с LDN мер SLM для достижения LDN. Эти меры будут разработаны и поддержаны в соответствии с интегрированными пространственными планами и планами землепользования (ISLUPs) и оценками LDN, обеспечивая согласованность между стимулами, приоритетами землепользования и измеримыми экологическими результатами.</w:t>
            </w:r>
          </w:p>
          <w:p w14:paraId="39D8F0E8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529ECA0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4. Управление знаниями и обучение</w:t>
            </w:r>
          </w:p>
          <w:p w14:paraId="30B8340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4.1. Лучшие практики и извлеченные уроки документируются, распространяются и применяются в других производственных ландшафтах и микробассейнах в Армении и регионе.</w:t>
            </w:r>
          </w:p>
          <w:p w14:paraId="25B1863B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Этот компонент обеспечит систематический сбор инструментов, подходов и доказательной базы, сформированных проектом, и их преобразование в практические продукты знаний. Он будет способствовать обучению, тиражированию и масштабированию, делая лучшие практики доступными для соответствующих заинтересованных сторон и поддерживая их применение в других ландшафтах и микробассейнах на национальном и региональном уровнях.</w:t>
            </w:r>
          </w:p>
          <w:p w14:paraId="26773F0E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3D92BD9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274" w:hanging="274"/>
        <w:rPr>
          <w:rFonts w:cs="Calibri"/>
          <w:bCs/>
        </w:rPr>
      </w:pPr>
      <w:r w:rsidRPr="000323D3">
        <w:lastRenderedPageBreak/>
        <w:t>ЦЕЛЬ ЗАДАНИЯ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CE12E3" w:rsidRPr="000323D3" w14:paraId="756773A9" w14:textId="77777777" w:rsidTr="00920493">
        <w:trPr>
          <w:trHeight w:val="264"/>
        </w:trPr>
        <w:tc>
          <w:tcPr>
            <w:tcW w:w="9828" w:type="dxa"/>
          </w:tcPr>
          <w:p w14:paraId="1D7410C8" w14:textId="77777777" w:rsidR="00CE12E3" w:rsidRPr="000323D3" w:rsidRDefault="00CE12E3" w:rsidP="00920493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0323D3">
              <w:rPr>
                <w:sz w:val="22"/>
              </w:rPr>
              <w:t xml:space="preserve">Цель настоящего задания — предоставить высокоуровневую техническую экспертизу Государственному агентству «Офис реализации экологических проектов» (EPIU SA) и Команде </w:t>
            </w:r>
            <w:r w:rsidRPr="000323D3">
              <w:rPr>
                <w:sz w:val="22"/>
              </w:rPr>
              <w:lastRenderedPageBreak/>
              <w:t>проекта для поддержки разработки, контекстной адаптации, пилотного внедрения и формирования пути масштабирования Схемы агроэкологических платежей (AEPS) в Армении в соответствии с требованиями ПРООН–ГЭФ, международной передовой практикой, а также национальной правовой и институциональной базой. Проектный документ доступен для скачивания по следующей ссылке:</w:t>
            </w:r>
          </w:p>
          <w:p w14:paraId="08B4802F" w14:textId="77777777" w:rsidR="00CE12E3" w:rsidRPr="000323D3" w:rsidRDefault="00CE12E3" w:rsidP="00920493">
            <w:pPr>
              <w:pStyle w:val="af1"/>
              <w:spacing w:after="0"/>
              <w:ind w:right="101"/>
              <w:rPr>
                <w:rFonts w:ascii="Calibri" w:hAnsi="Calibri" w:cs="Calibri"/>
                <w:sz w:val="22"/>
                <w:szCs w:val="22"/>
                <w:lang w:val="hy-AM"/>
              </w:rPr>
            </w:pPr>
            <w:r w:rsidRPr="000323D3">
              <w:rPr>
                <w:sz w:val="20"/>
                <w:lang w:val="hy-AM"/>
              </w:rPr>
              <w:t>(</w:t>
            </w:r>
            <w:hyperlink r:id="rId8" w:history="1">
              <w:r w:rsidRPr="000323D3">
                <w:rPr>
                  <w:rStyle w:val="af0"/>
                  <w:sz w:val="20"/>
                  <w:lang w:val="hy-AM"/>
                </w:rPr>
                <w:t>https://www.undp.org/armenia/publications/conservation-and-sustainable-management-land-resources-and-high-value-ecosystems-lake-sevan-basin-multiple-benefits</w:t>
              </w:r>
            </w:hyperlink>
            <w:r w:rsidRPr="000323D3">
              <w:rPr>
                <w:sz w:val="20"/>
                <w:lang w:val="hy-AM"/>
              </w:rPr>
              <w:t xml:space="preserve">)   </w:t>
            </w:r>
          </w:p>
          <w:p w14:paraId="0FA62F0B" w14:textId="77777777" w:rsidR="00CE12E3" w:rsidRPr="000323D3" w:rsidRDefault="00CE12E3" w:rsidP="00920493">
            <w:pPr>
              <w:pStyle w:val="Normal1"/>
              <w:spacing w:before="40" w:beforeAutospacing="0" w:after="40" w:line="240" w:lineRule="auto"/>
              <w:jc w:val="both"/>
              <w:rPr>
                <w:rFonts w:cs="Calibri"/>
                <w:kern w:val="2"/>
                <w:lang w:val="hy-AM" w:eastAsia="zh-CN"/>
              </w:rPr>
            </w:pPr>
          </w:p>
        </w:tc>
      </w:tr>
    </w:tbl>
    <w:p w14:paraId="1CCD2337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rPr>
          <w:lang w:val="hy-AM"/>
        </w:rPr>
        <w:lastRenderedPageBreak/>
        <w:t> </w:t>
      </w:r>
      <w:r w:rsidRPr="000323D3">
        <w:t xml:space="preserve">КОНКРЕТНЫЕ ОБЯЗАННОСТИ И ОТВЕТСТВЕННОСТЬ </w:t>
      </w:r>
    </w:p>
    <w:tbl>
      <w:tblPr>
        <w:tblStyle w:val="ad"/>
        <w:tblW w:w="10103" w:type="dxa"/>
        <w:tblInd w:w="-5" w:type="dxa"/>
        <w:tblLook w:val="04A0" w:firstRow="1" w:lastRow="0" w:firstColumn="1" w:lastColumn="0" w:noHBand="0" w:noVBand="1"/>
      </w:tblPr>
      <w:tblGrid>
        <w:gridCol w:w="10103"/>
      </w:tblGrid>
      <w:tr w:rsidR="00CE12E3" w:rsidRPr="000323D3" w14:paraId="0CA248E7" w14:textId="77777777" w:rsidTr="00920493">
        <w:tc>
          <w:tcPr>
            <w:tcW w:w="10103" w:type="dxa"/>
          </w:tcPr>
          <w:p w14:paraId="04CCC289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 xml:space="preserve">     Под общим руководством и надзором Менеджера проекта Международный консультант  </w:t>
            </w:r>
          </w:p>
          <w:p w14:paraId="3E4FB52C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 xml:space="preserve">     будет содействовать достижению соответствующих результатов проекта и будет отвечать за выполнение следующих задач:</w:t>
            </w:r>
          </w:p>
          <w:p w14:paraId="12E623B1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Провести обзор и доработку существующей концепции AEPS (см. Приложение 1) и адаптировать ее к правовому, институциональному, экологическому и социально-экономическому контексту Армении.</w:t>
            </w:r>
          </w:p>
          <w:p w14:paraId="21F3F473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Оценить и рекомендовать наиболее подходящую модель платежей (основанную на действиях, результатах или гибридную), включая критерии приемлемости, методологии расчета платежей и механизмы соблюдения требований.</w:t>
            </w:r>
          </w:p>
          <w:p w14:paraId="26F5ADA1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Обеспечить согласование AEPS с Социальными и экологическими стандартами ПРООН (SES) и внести вклад в соответствующие процессы SESA/ESMF, по мере применимости, включая разработку контрольного списка скрининга SES для AEPS и списка исключений.</w:t>
            </w:r>
          </w:p>
          <w:p w14:paraId="3A12C8C3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экономически эффективную и соответствующую контексту систему мониторинга, отчетности и верификации (MRV), объединяющую полевой мониторинг и дистанционное зондирование там, где это возможно.</w:t>
            </w:r>
          </w:p>
          <w:p w14:paraId="7DACC16B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Предоставлять техническую консультативную поддержку для разработки и пилотирования AEPS в выбранных проектных общинах. Это будет включать:</w:t>
            </w:r>
          </w:p>
          <w:p w14:paraId="67852B3E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технический вклад в процессы консультаций с заинтересованными сторонами, проводимые Командой проекта,</w:t>
            </w:r>
          </w:p>
          <w:p w14:paraId="7AD8CFA6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консультационный вклад в коммуникационные подходы в пилотных общинах,</w:t>
            </w:r>
          </w:p>
          <w:p w14:paraId="6AA3033F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а также технический вклад в разработку специфических для AEPS механизмов рассмотрения жалоб и апелляций, связанных с механизмом рассмотрения жалоб Проекта (GRM).</w:t>
            </w:r>
          </w:p>
          <w:p w14:paraId="0AC0701E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Операционное руководство AEPS (для использования Командой проекта и национальными заинтересованными сторонами) и основные шаблоны (формы заявок, соглашения об участии, расчетные листы платежей, инструменты верификации и процедуры при несоблюдении требований).</w:t>
            </w:r>
          </w:p>
          <w:p w14:paraId="1399D56A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Предоставлять технические рекомендации и обеспечивать передачу знаний национальным институтам и экспертам проекта, включая вклад в мероприятия по подготовке тренеров.</w:t>
            </w:r>
          </w:p>
          <w:p w14:paraId="0F9D04EC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Провести финансовый и экономический анализ для оценки экономической эффективности, бюджетных последствий и устойчивости AEPS.</w:t>
            </w:r>
          </w:p>
          <w:p w14:paraId="15D29B2B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стратегию масштабирования и институционализации AEPS на национальном уровне, включая варианты финансирования и пути интеграции в политику.</w:t>
            </w:r>
          </w:p>
          <w:p w14:paraId="4B977465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Предоставлять технический вклад в презентации, тренинги и мероприятия по повышению осведомленности, по мере необходимости. Более конкретно, будет содействовать достижению результатов 1.1.1/1.1.4/3.1.1).</w:t>
            </w:r>
          </w:p>
          <w:p w14:paraId="0C59343D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535D110" w14:textId="77777777" w:rsidR="00CE12E3" w:rsidRPr="000323D3" w:rsidRDefault="00CE12E3" w:rsidP="00920493">
            <w:pPr>
              <w:tabs>
                <w:tab w:val="left" w:pos="345"/>
              </w:tabs>
              <w:spacing w:after="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8D38395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t xml:space="preserve"> ОЖИДАЕМЫЕ РЕЗУЛЬТАТЫ </w:t>
      </w:r>
    </w:p>
    <w:p w14:paraId="756BD7C6" w14:textId="77777777" w:rsidR="00CE12E3" w:rsidRPr="000323D3" w:rsidRDefault="00CE12E3" w:rsidP="00CE12E3">
      <w:pPr>
        <w:tabs>
          <w:tab w:val="left" w:pos="360"/>
        </w:tabs>
        <w:spacing w:before="120" w:after="12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>Международный консультант отвечает за обеспечение следующих результатов в течение 2026 года:</w:t>
      </w:r>
    </w:p>
    <w:tbl>
      <w:tblPr>
        <w:tblStyle w:val="-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5367"/>
        <w:gridCol w:w="1349"/>
        <w:gridCol w:w="1987"/>
        <w:gridCol w:w="550"/>
      </w:tblGrid>
      <w:tr w:rsidR="00CE12E3" w:rsidRPr="000323D3" w14:paraId="5C34029A" w14:textId="77777777" w:rsidTr="00920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AF4E" w14:textId="77777777" w:rsidR="00CE12E3" w:rsidRPr="00E507CA" w:rsidRDefault="00CE12E3" w:rsidP="00920493">
            <w:pPr>
              <w:tabs>
                <w:tab w:val="left" w:pos="360"/>
              </w:tabs>
              <w:spacing w:before="120" w:after="120"/>
              <w:rPr>
                <w:rFonts w:ascii="Arial" w:hAnsi="Arial" w:cs="Calibri"/>
                <w:b w:val="0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1E3A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5736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ru-RU"/>
              </w:rPr>
            </w:pPr>
            <w:r w:rsidRPr="000323D3">
              <w:rPr>
                <w:b w:val="0"/>
                <w:color w:val="auto"/>
                <w:sz w:val="20"/>
              </w:rPr>
              <w:t>Срок</w:t>
            </w:r>
            <w:r w:rsidRPr="000323D3">
              <w:rPr>
                <w:b w:val="0"/>
                <w:color w:val="auto"/>
                <w:sz w:val="20"/>
                <w:lang w:val="ru-RU"/>
              </w:rPr>
              <w:t xml:space="preserve"> после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78AD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585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Вес (%)</w:t>
            </w:r>
          </w:p>
        </w:tc>
      </w:tr>
      <w:tr w:rsidR="00CE12E3" w:rsidRPr="000323D3" w14:paraId="14EED762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254AC5B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564F3CE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Дизайн AEPS заверш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и адаптирова</w:t>
            </w:r>
            <w:r w:rsidRPr="000323D3">
              <w:rPr>
                <w:sz w:val="20"/>
                <w:lang w:val="ru-RU"/>
              </w:rPr>
              <w:t>ть</w:t>
            </w:r>
            <w:r w:rsidRPr="000323D3">
              <w:rPr>
                <w:sz w:val="20"/>
              </w:rPr>
              <w:t xml:space="preserve"> к армянскому контексту, включая обоснование критериев приемлемости и модели платежей, техническое руководство по внедрению, а также интегрированные положения SES/социальной и гендерной инклюзии. Прове</w:t>
            </w:r>
            <w:r w:rsidRPr="000323D3">
              <w:rPr>
                <w:sz w:val="20"/>
                <w:lang w:val="ru-RU"/>
              </w:rPr>
              <w:t>сти</w:t>
            </w:r>
            <w:r w:rsidRPr="000323D3">
              <w:rPr>
                <w:sz w:val="20"/>
              </w:rPr>
              <w:t xml:space="preserve"> не менее двух онлайн-тренингов по AEPS (по согласованию). Результат должен включать Операционное руководство AEPS и основные шаблоны (заявка/контракт/расчет платежей/верификация/несоблюдение требований/апелляции), а также критерии отбора мер AEPS (включая список исключений и контрольный список скрининга SES).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CE9EA05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3 месяца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4C3A6E6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12 (включая до 5 рабочих дней командировки в Армению — даты подлежат уточнению)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0E67A4E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40</w:t>
            </w:r>
          </w:p>
        </w:tc>
      </w:tr>
      <w:tr w:rsidR="00CE12E3" w:rsidRPr="000323D3" w14:paraId="65CF10A0" w14:textId="77777777" w:rsidTr="00920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9C9844C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2E52C34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Разработа</w:t>
            </w:r>
            <w:r w:rsidRPr="000323D3">
              <w:rPr>
                <w:sz w:val="20"/>
                <w:lang w:val="ru-RU"/>
              </w:rPr>
              <w:t>ть область</w:t>
            </w:r>
            <w:r w:rsidRPr="000323D3">
              <w:rPr>
                <w:sz w:val="20"/>
              </w:rPr>
              <w:t xml:space="preserve"> пилотной AEPS и методология MRV, включая индикаторы и подходы к верификации (полевые и, где возможно, на основе дистанционного зондирования).</w:t>
            </w:r>
          </w:p>
          <w:p w14:paraId="1CDDA381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Предостав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технический консультативный вклад в разработку механизмов управления и операционных механизмов пилота (роли, обязанности, рабочие процессы), которые будут внедряться Командой проекта.</w:t>
            </w:r>
          </w:p>
          <w:p w14:paraId="7DD652D1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Прове</w:t>
            </w:r>
            <w:r w:rsidRPr="000323D3">
              <w:rPr>
                <w:sz w:val="20"/>
                <w:lang w:val="ru-RU"/>
              </w:rPr>
              <w:t>сти</w:t>
            </w:r>
            <w:r w:rsidRPr="000323D3">
              <w:rPr>
                <w:sz w:val="20"/>
              </w:rPr>
              <w:t xml:space="preserve"> не менее двух очных тренингов по AEPS (по согласованию).</w:t>
            </w:r>
          </w:p>
          <w:p w14:paraId="22341CA8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Предостав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технический вклад в процессы консультаций с заинтересованными сторонами и в разработку рабочего процесса GRM/апелляций для AEPS.</w:t>
            </w:r>
          </w:p>
        </w:tc>
        <w:tc>
          <w:tcPr>
            <w:tcW w:w="0" w:type="auto"/>
            <w:shd w:val="clear" w:color="auto" w:fill="auto"/>
            <w:hideMark/>
          </w:tcPr>
          <w:p w14:paraId="443C0EE8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5 месяцев</w:t>
            </w:r>
          </w:p>
        </w:tc>
        <w:tc>
          <w:tcPr>
            <w:tcW w:w="0" w:type="auto"/>
            <w:shd w:val="clear" w:color="auto" w:fill="auto"/>
            <w:hideMark/>
          </w:tcPr>
          <w:p w14:paraId="4F14A4C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10 (две очные сессии могут быть проведены в рамках командировки по Результату 1,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14:paraId="6601957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35</w:t>
            </w:r>
          </w:p>
        </w:tc>
      </w:tr>
      <w:tr w:rsidR="00CE12E3" w:rsidRPr="000323D3" w14:paraId="7F6D2F70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3BDBEA3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31475E5D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Подготов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и представ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для валидации с ключевыми заинтересованными сторонами анализ финансовой осуществимости AEPS и стратеги</w:t>
            </w:r>
            <w:r w:rsidRPr="000323D3">
              <w:rPr>
                <w:sz w:val="20"/>
                <w:lang w:val="ru-RU"/>
              </w:rPr>
              <w:t>ю</w:t>
            </w:r>
            <w:r w:rsidRPr="000323D3">
              <w:rPr>
                <w:sz w:val="20"/>
              </w:rPr>
              <w:t xml:space="preserve"> национального масштабирования и институционализации, включая варианты финансирования, пути интеграции в политику и продукты знаний (записка об извлеченных уроках + пакет для тиражирования/шаблоны).</w:t>
            </w:r>
          </w:p>
        </w:tc>
        <w:tc>
          <w:tcPr>
            <w:tcW w:w="0" w:type="auto"/>
            <w:shd w:val="clear" w:color="auto" w:fill="auto"/>
            <w:hideMark/>
          </w:tcPr>
          <w:p w14:paraId="19FBE5E3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4 месяца</w:t>
            </w:r>
          </w:p>
        </w:tc>
        <w:tc>
          <w:tcPr>
            <w:tcW w:w="0" w:type="auto"/>
            <w:shd w:val="clear" w:color="auto" w:fill="auto"/>
            <w:hideMark/>
          </w:tcPr>
          <w:p w14:paraId="6FAEEF9B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252B0BB7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25</w:t>
            </w:r>
          </w:p>
        </w:tc>
      </w:tr>
    </w:tbl>
    <w:p w14:paraId="1AC1D23A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t xml:space="preserve">ГРАФИК КОМАНДИРОВКИ И ОПЛАТЫ 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CE12E3" w:rsidRPr="000323D3" w14:paraId="77F8D048" w14:textId="77777777" w:rsidTr="00920493">
        <w:tc>
          <w:tcPr>
            <w:tcW w:w="10103" w:type="dxa"/>
          </w:tcPr>
          <w:p w14:paraId="18AABC56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rPr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В ходе задания 2026 года потребуется международная поездка продолжительностью до 5 рабочих дней для полевой миссии в Ереван/Армению; график миссии будет согласован с консультантом на этапе заключения договора. Расходы, связанные с миссией и международной поездкой, будут включены в единовременное финансовое предложение и оплачены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 xml:space="preserve"> за: </w:t>
            </w:r>
            <w:r w:rsidRPr="000323D3">
              <w:rPr>
                <w:sz w:val="22"/>
              </w:rPr>
              <w:t>i</w:t>
            </w:r>
            <w:r w:rsidRPr="000323D3">
              <w:rPr>
                <w:sz w:val="22"/>
                <w:lang w:val="ru-RU"/>
              </w:rPr>
              <w:t xml:space="preserve">) авиабилет туда и обратно по наиболее прямому маршруту экономическим классом; </w:t>
            </w:r>
            <w:r w:rsidRPr="000323D3">
              <w:rPr>
                <w:sz w:val="22"/>
              </w:rPr>
              <w:t>ii</w:t>
            </w:r>
            <w:r w:rsidRPr="000323D3">
              <w:rPr>
                <w:sz w:val="22"/>
                <w:lang w:val="ru-RU"/>
              </w:rPr>
              <w:t>) суточные (</w:t>
            </w:r>
            <w:r w:rsidRPr="000323D3">
              <w:rPr>
                <w:sz w:val="22"/>
              </w:rPr>
              <w:t>DSA</w:t>
            </w:r>
            <w:r w:rsidRPr="000323D3">
              <w:rPr>
                <w:sz w:val="22"/>
                <w:lang w:val="ru-RU"/>
              </w:rPr>
              <w:t xml:space="preserve">) согласно установленным ставкам суточных ООН на период миссии в стране для гостиницы с подходящим расположением и тарифом экономического класса (варианты будут предложены и согласованы), питания и местных поездок; </w:t>
            </w:r>
            <w:r w:rsidRPr="000323D3">
              <w:rPr>
                <w:sz w:val="22"/>
              </w:rPr>
              <w:t>ii</w:t>
            </w:r>
            <w:r w:rsidRPr="000323D3">
              <w:rPr>
                <w:sz w:val="22"/>
                <w:lang w:val="ru-RU"/>
              </w:rPr>
              <w:t xml:space="preserve">) другие связанные с миссией расходы, включая трансферы в/из терминала и визу, будут возмещены на основании отчета консультанта о понесенных расходах, представленного после завершения миссии. Миссия может включать местные поездки в область/общину; все такие местные перевозки организует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 xml:space="preserve">. По вопросам визы необходимо заблаговременно до планируемой поездки посетить: </w:t>
            </w:r>
            <w:r w:rsidRPr="000323D3">
              <w:rPr>
                <w:sz w:val="22"/>
              </w:rPr>
              <w:t>E</w:t>
            </w:r>
            <w:r w:rsidRPr="000323D3">
              <w:rPr>
                <w:sz w:val="22"/>
                <w:lang w:val="ru-RU"/>
              </w:rPr>
              <w:t>-</w:t>
            </w:r>
            <w:r w:rsidRPr="000323D3">
              <w:rPr>
                <w:sz w:val="22"/>
              </w:rPr>
              <w:t>Visa</w:t>
            </w:r>
            <w:r w:rsidRPr="000323D3">
              <w:rPr>
                <w:sz w:val="22"/>
                <w:lang w:val="ru-RU"/>
              </w:rPr>
              <w:t xml:space="preserve"> (</w:t>
            </w:r>
            <w:r w:rsidRPr="000323D3">
              <w:rPr>
                <w:sz w:val="22"/>
              </w:rPr>
              <w:t>mfa</w:t>
            </w:r>
            <w:r w:rsidRPr="000323D3">
              <w:rPr>
                <w:sz w:val="22"/>
                <w:lang w:val="ru-RU"/>
              </w:rPr>
              <w:t>.</w:t>
            </w:r>
            <w:r w:rsidRPr="000323D3">
              <w:rPr>
                <w:sz w:val="22"/>
              </w:rPr>
              <w:t>am</w:t>
            </w:r>
            <w:r w:rsidRPr="000323D3">
              <w:rPr>
                <w:sz w:val="22"/>
                <w:lang w:val="ru-RU"/>
              </w:rPr>
              <w:t xml:space="preserve">). </w:t>
            </w:r>
          </w:p>
          <w:p w14:paraId="6907EABC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6FC510AD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Оплата будет произведена двумя траншами после представления и принятия результатов, а также подтверждения удовлетворительного выполнения работы со стороны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>:</w:t>
            </w:r>
          </w:p>
          <w:p w14:paraId="761DA9A4" w14:textId="77777777" w:rsidR="00CE12E3" w:rsidRPr="000323D3" w:rsidRDefault="00CE12E3" w:rsidP="007D250D">
            <w:pPr>
              <w:pStyle w:val="pf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После завершения Результата 1: </w:t>
            </w:r>
            <w:r w:rsidRPr="000323D3">
              <w:rPr>
                <w:rFonts w:ascii="Arial" w:hAnsi="Arial"/>
                <w:sz w:val="22"/>
                <w:lang w:val="hy-AM"/>
              </w:rPr>
              <w:t>4</w:t>
            </w:r>
            <w:r w:rsidRPr="000323D3">
              <w:rPr>
                <w:sz w:val="22"/>
                <w:lang w:val="ru-RU"/>
              </w:rPr>
              <w:t>0% от общей суммы профессионального вознаграждения</w:t>
            </w:r>
          </w:p>
          <w:p w14:paraId="6B01EEE3" w14:textId="77777777" w:rsidR="00CE12E3" w:rsidRPr="000323D3" w:rsidRDefault="00CE12E3" w:rsidP="007D250D">
            <w:pPr>
              <w:pStyle w:val="pf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После завершения Результатов 2 и 3: </w:t>
            </w:r>
            <w:r w:rsidRPr="000323D3">
              <w:rPr>
                <w:rFonts w:ascii="Arial" w:hAnsi="Arial"/>
                <w:sz w:val="22"/>
                <w:lang w:val="hy-AM"/>
              </w:rPr>
              <w:t>6</w:t>
            </w:r>
            <w:r w:rsidRPr="000323D3">
              <w:rPr>
                <w:sz w:val="22"/>
                <w:lang w:val="ru-RU"/>
              </w:rPr>
              <w:t>0% от общей суммы профессионального вознаграждения</w:t>
            </w:r>
          </w:p>
          <w:p w14:paraId="44367379" w14:textId="77777777" w:rsidR="00CE12E3" w:rsidRPr="000323D3" w:rsidRDefault="00CE12E3" w:rsidP="00920493">
            <w:pPr>
              <w:pStyle w:val="Para"/>
              <w:numPr>
                <w:ilvl w:val="0"/>
                <w:numId w:val="0"/>
              </w:numPr>
              <w:ind w:left="1080" w:hanging="360"/>
              <w:rPr>
                <w:rFonts w:ascii="Calibri" w:hAnsi="Calibri" w:cs="Calibri"/>
              </w:rPr>
            </w:pPr>
          </w:p>
        </w:tc>
      </w:tr>
    </w:tbl>
    <w:p w14:paraId="1F5B4681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 ИНСТИТУЦИОНАЛЬНЫЕ МЕХАНИЗМЫ / ЛИНИИ ОТЧЕТНОСТИ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3"/>
      </w:tblGrid>
      <w:tr w:rsidR="00CE12E3" w:rsidRPr="000323D3" w14:paraId="760A8DD2" w14:textId="77777777" w:rsidTr="00920493">
        <w:trPr>
          <w:trHeight w:val="585"/>
        </w:trPr>
        <w:tc>
          <w:tcPr>
            <w:tcW w:w="10103" w:type="dxa"/>
          </w:tcPr>
          <w:p w14:paraId="0BAC8F85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lastRenderedPageBreak/>
              <w:t>Консультант будет отчитываться перед Менеджером проекта EPIU. При выполнении задания Международному консультанту будет оказывать поддержку команда национальных консультантов. Все результаты должны представляться на английском языке в электронном формате и подлежат рассмотрению и утверждению EPIU.</w:t>
            </w:r>
          </w:p>
        </w:tc>
      </w:tr>
    </w:tbl>
    <w:p w14:paraId="0DEFAD73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ОПЫТ И КВАЛИФИКАЦИЯ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CE12E3" w:rsidRPr="000323D3" w14:paraId="3FE22D81" w14:textId="77777777" w:rsidTr="00920493">
        <w:trPr>
          <w:trHeight w:val="341"/>
        </w:trPr>
        <w:tc>
          <w:tcPr>
            <w:tcW w:w="10103" w:type="dxa"/>
          </w:tcPr>
          <w:p w14:paraId="3EDDC781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I. Академические квалификации</w:t>
            </w:r>
          </w:p>
          <w:p w14:paraId="5D3B7894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Степень магистра или выше в области экологических наук, сельского хозяйства, экологической экономики, управления природными ресурсами или в тесно связанной области.</w:t>
            </w:r>
          </w:p>
          <w:p w14:paraId="4D8DA200" w14:textId="77777777" w:rsidR="00CE12E3" w:rsidRPr="000323D3" w:rsidRDefault="00CE12E3" w:rsidP="00920493">
            <w:pPr>
              <w:pStyle w:val="aff4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 xml:space="preserve">I I </w:t>
            </w:r>
            <w:r w:rsidRPr="000323D3">
              <w:rPr>
                <w:sz w:val="22"/>
                <w:u w:val="single"/>
                <w:lang w:val="ru-RU"/>
              </w:rPr>
              <w:t xml:space="preserve"> </w:t>
            </w:r>
            <w:r w:rsidRPr="000323D3">
              <w:rPr>
                <w:sz w:val="22"/>
                <w:u w:val="single"/>
              </w:rPr>
              <w:t>Профессиональный опыт</w:t>
            </w:r>
          </w:p>
          <w:p w14:paraId="4D8CCAD7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 xml:space="preserve">Минимум 5 лет подтвержденного опыта в разработке и/или внедрении схем агроэкологических платежей, механизмов </w:t>
            </w:r>
            <w:r w:rsidRPr="000323D3">
              <w:rPr>
                <w:sz w:val="22"/>
              </w:rPr>
              <w:t>PES</w:t>
            </w:r>
            <w:r w:rsidRPr="000323D3">
              <w:rPr>
                <w:sz w:val="22"/>
                <w:lang w:val="ru-RU"/>
              </w:rPr>
              <w:t xml:space="preserve"> или аналогичных стимулирующих инструментов экологического финансирования;</w:t>
            </w:r>
          </w:p>
          <w:p w14:paraId="2D4E8913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Требуется подтвержденный опыт работы с проектами, финансируемыми ПРООН и/или ГЭФ;</w:t>
            </w:r>
          </w:p>
          <w:p w14:paraId="38ED781E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Опыт работы в Восточной Европе, странах СНГ или сопоставимых регионах считается преимуществом.</w:t>
            </w:r>
          </w:p>
          <w:p w14:paraId="0925E50D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III. Язык и технические средства</w:t>
            </w:r>
          </w:p>
          <w:p w14:paraId="0DD0E883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Свободное владение письменным и устным английским языком обязательно;</w:t>
            </w:r>
          </w:p>
          <w:p w14:paraId="22749354" w14:textId="77777777" w:rsidR="00CE12E3" w:rsidRPr="000323D3" w:rsidRDefault="00CE12E3" w:rsidP="007D250D">
            <w:pPr>
              <w:pStyle w:val="a7"/>
              <w:numPr>
                <w:ilvl w:val="0"/>
                <w:numId w:val="6"/>
              </w:numPr>
              <w:spacing w:before="12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 xml:space="preserve">Наличие необходимых технических средств (компьютер, программное обеспечение) для выполнения задания. </w:t>
            </w:r>
          </w:p>
          <w:p w14:paraId="6D44B7A8" w14:textId="77777777" w:rsidR="00CE12E3" w:rsidRPr="000323D3" w:rsidRDefault="00CE12E3" w:rsidP="00920493">
            <w:pPr>
              <w:spacing w:before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IV. Специальные навыки</w:t>
            </w:r>
          </w:p>
          <w:p w14:paraId="0046A671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Сильные аналитические навыки, навыки подготовки документов, фасилитации и коммуникации;</w:t>
            </w:r>
          </w:p>
          <w:p w14:paraId="316BDAA6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Умение работать удаленно и управлять платформами виртуального сотрудничества;</w:t>
            </w:r>
          </w:p>
          <w:p w14:paraId="11AFE27C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Подтвержденные навыки координации и взаимодействия с заинтересованными сторонами.</w:t>
            </w:r>
          </w:p>
          <w:p w14:paraId="2390582F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7393D232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u w:val="single"/>
              </w:rPr>
              <w:t>V. Требования к подтверждающим документам (согласно требованиям национального законодательства)</w:t>
            </w:r>
          </w:p>
          <w:p w14:paraId="08F3C12D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Для обеспечения соответствия заявитель представляет следующие документы:</w:t>
            </w:r>
          </w:p>
          <w:p w14:paraId="0A469C50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Резюме, отражающее деятельность в течение года подачи заявки и предшествующих пяти (5) лет;</w:t>
            </w:r>
          </w:p>
          <w:p w14:paraId="51E76F0B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Копия как минимум одного (1) предыдущего договора на предоставление услуг, аналогичных данному заданию;</w:t>
            </w:r>
          </w:p>
          <w:p w14:paraId="369BEBDD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Подтверждение приемки успешно выполненного(ых) договорного(ых) результата(ов) (например, акт приема-передачи);</w:t>
            </w:r>
          </w:p>
          <w:p w14:paraId="16B44239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Копии паспорта консультанта и документов, подтверждающих квалификацию (дипломы, сертификаты и т. д.).</w:t>
            </w:r>
          </w:p>
          <w:p w14:paraId="1C5D3C62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65"/>
              </w:tabs>
              <w:autoSpaceDE w:val="0"/>
              <w:autoSpaceDN w:val="0"/>
              <w:spacing w:before="60" w:after="60"/>
              <w:ind w:left="346" w:right="101" w:hanging="346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F886A7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МЕТОД ОЦЕНКИ</w:t>
      </w:r>
    </w:p>
    <w:p w14:paraId="735297DF" w14:textId="77777777" w:rsidR="00CE12E3" w:rsidRPr="000323D3" w:rsidRDefault="00CE12E3" w:rsidP="00CE12E3">
      <w:pPr>
        <w:widowControl w:val="0"/>
        <w:tabs>
          <w:tab w:val="left" w:pos="333"/>
        </w:tabs>
        <w:autoSpaceDE w:val="0"/>
        <w:autoSpaceDN w:val="0"/>
        <w:spacing w:before="24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>Будет применяться комбинированная система оценки: техническая часть — 70%, финансовое предложение — 30%.</w:t>
      </w:r>
    </w:p>
    <w:p w14:paraId="429932BC" w14:textId="77777777" w:rsidR="00CE12E3" w:rsidRPr="000323D3" w:rsidRDefault="00CE12E3" w:rsidP="00CE12E3">
      <w:pPr>
        <w:widowControl w:val="0"/>
        <w:tabs>
          <w:tab w:val="left" w:pos="333"/>
        </w:tabs>
        <w:autoSpaceDE w:val="0"/>
        <w:autoSpaceDN w:val="0"/>
        <w:spacing w:before="12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 xml:space="preserve">Кандидаты будут оцениваться методом кумулятивного анализа «Комбинированный </w:t>
      </w:r>
      <w:r w:rsidRPr="000323D3">
        <w:rPr>
          <w:sz w:val="22"/>
          <w:lang w:val="ru-RU"/>
        </w:rPr>
        <w:t>метод</w:t>
      </w:r>
      <w:r w:rsidRPr="000323D3">
        <w:rPr>
          <w:sz w:val="22"/>
        </w:rPr>
        <w:t>»:</w:t>
      </w:r>
    </w:p>
    <w:p w14:paraId="0A3C1F5B" w14:textId="77777777" w:rsidR="00CE12E3" w:rsidRPr="000323D3" w:rsidRDefault="00CE12E3" w:rsidP="007D250D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 xml:space="preserve">техническая квалификация, опыт и </w:t>
      </w:r>
    </w:p>
    <w:p w14:paraId="3F8B9D5B" w14:textId="77777777" w:rsidR="00CE12E3" w:rsidRPr="000323D3" w:rsidRDefault="00CE12E3" w:rsidP="007D250D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>финансовое предложение</w:t>
      </w:r>
    </w:p>
    <w:p w14:paraId="6A2087D8" w14:textId="77777777" w:rsidR="00CE12E3" w:rsidRPr="000323D3" w:rsidRDefault="00CE12E3" w:rsidP="00CE12E3">
      <w:pPr>
        <w:suppressAutoHyphens/>
        <w:spacing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 xml:space="preserve">Контракт будет присужден индивидуальному консультанту, предложение которого будет признано технически соответствующим/приемлемым требованиям ТЗ и получит наивысший совокупный технический и финансовый балл по установленным техническим и финансовым критериям. К финансовой оценке будут допущены только кандидаты, набравшие не менее 60 баллов (из 100) по </w:t>
      </w:r>
      <w:r w:rsidRPr="000323D3">
        <w:rPr>
          <w:sz w:val="22"/>
        </w:rPr>
        <w:lastRenderedPageBreak/>
        <w:t xml:space="preserve">технической оценке. EPIU может запросить письменные материалы и провести проверку рекомендаций (не менее 3 рекомендаций должны быть включены в сопроводительное письмо). </w:t>
      </w:r>
    </w:p>
    <w:p w14:paraId="7D0856DC" w14:textId="77777777" w:rsidR="00CE12E3" w:rsidRPr="000323D3" w:rsidRDefault="00CE12E3" w:rsidP="00CE12E3">
      <w:pPr>
        <w:suppressAutoHyphens/>
        <w:spacing w:after="240"/>
        <w:ind w:left="-90" w:right="-162"/>
        <w:rPr>
          <w:rFonts w:ascii="Calibri" w:hAnsi="Calibri" w:cs="Calibri"/>
          <w:sz w:val="22"/>
          <w:szCs w:val="22"/>
          <w:lang w:val="ru-RU"/>
        </w:rPr>
      </w:pPr>
      <w:r w:rsidRPr="000323D3">
        <w:rPr>
          <w:sz w:val="22"/>
        </w:rPr>
        <w:t>Техническая оценка будет включать кабинетный анализ и интервью с кандидатами, включенными в короткий список, для подтверждения компетенций в соответствии с критериями ТЗ.</w:t>
      </w:r>
    </w:p>
    <w:tbl>
      <w:tblPr>
        <w:tblStyle w:val="PlainTable11"/>
        <w:tblW w:w="10131" w:type="dxa"/>
        <w:jc w:val="center"/>
        <w:tblLook w:val="04A0" w:firstRow="1" w:lastRow="0" w:firstColumn="1" w:lastColumn="0" w:noHBand="0" w:noVBand="1"/>
      </w:tblPr>
      <w:tblGrid>
        <w:gridCol w:w="8236"/>
        <w:gridCol w:w="964"/>
        <w:gridCol w:w="931"/>
      </w:tblGrid>
      <w:tr w:rsidR="00CE12E3" w:rsidRPr="000323D3" w14:paraId="51B0CFED" w14:textId="77777777" w:rsidTr="00920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3F93D9E" w14:textId="77777777" w:rsidR="00CE12E3" w:rsidRPr="000323D3" w:rsidRDefault="00CE12E3" w:rsidP="00920493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Требуемая квалификация</w:t>
            </w:r>
          </w:p>
        </w:tc>
        <w:tc>
          <w:tcPr>
            <w:tcW w:w="964" w:type="dxa"/>
          </w:tcPr>
          <w:p w14:paraId="4BBDAE70" w14:textId="77777777" w:rsidR="00CE12E3" w:rsidRPr="000323D3" w:rsidRDefault="00CE12E3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Баллы</w:t>
            </w:r>
          </w:p>
        </w:tc>
        <w:tc>
          <w:tcPr>
            <w:tcW w:w="931" w:type="dxa"/>
          </w:tcPr>
          <w:p w14:paraId="46D9E8F0" w14:textId="77777777" w:rsidR="00CE12E3" w:rsidRPr="000323D3" w:rsidRDefault="00CE12E3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Вес,</w:t>
            </w:r>
          </w:p>
          <w:p w14:paraId="30CA0865" w14:textId="77777777" w:rsidR="00CE12E3" w:rsidRPr="000323D3" w:rsidRDefault="00CE12E3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%</w:t>
            </w:r>
          </w:p>
        </w:tc>
      </w:tr>
      <w:tr w:rsidR="00CE12E3" w:rsidRPr="000323D3" w14:paraId="73EA3F41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7258AA6" w14:textId="77777777" w:rsidR="00CE12E3" w:rsidRPr="000323D3" w:rsidRDefault="00CE12E3" w:rsidP="00920493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Образование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4644A3B9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Calibri"/>
                <w:iCs/>
                <w:color w:val="000000"/>
                <w:sz w:val="22"/>
                <w:szCs w:val="22"/>
                <w:lang w:val="ru-RU"/>
              </w:rPr>
            </w:pPr>
            <w:r w:rsidRPr="000323D3"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5249CA7F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</w:pPr>
            <w:r w:rsidRPr="000323D3">
              <w:rPr>
                <w:rFonts w:ascii="Calibri" w:hAnsi="Calibri" w:cs="Calibri"/>
                <w:iCs/>
                <w:color w:val="000000"/>
                <w:sz w:val="22"/>
                <w:szCs w:val="22"/>
                <w:lang w:val="ru-RU"/>
              </w:rPr>
              <w:t>5</w:t>
            </w:r>
            <w:r w:rsidRPr="000323D3">
              <w:rPr>
                <w:sz w:val="22"/>
              </w:rPr>
              <w:t>%</w:t>
            </w:r>
          </w:p>
        </w:tc>
      </w:tr>
      <w:tr w:rsidR="00CE12E3" w:rsidRPr="000323D3" w14:paraId="3CE3AD51" w14:textId="77777777" w:rsidTr="009204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C8987A3" w14:textId="77777777" w:rsidR="00CE12E3" w:rsidRPr="000323D3" w:rsidRDefault="00CE12E3" w:rsidP="00920493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rFonts w:ascii="Arial" w:hAnsi="Arial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Степень магистра</w:t>
            </w:r>
            <w:r w:rsidRPr="000323D3">
              <w:rPr>
                <w:b w:val="0"/>
                <w:sz w:val="22"/>
                <w:lang w:val="ru-RU"/>
              </w:rPr>
              <w:t xml:space="preserve"> в</w:t>
            </w:r>
            <w:r w:rsidRPr="000323D3">
              <w:rPr>
                <w:b w:val="0"/>
                <w:sz w:val="22"/>
              </w:rPr>
              <w:t xml:space="preserve"> области агроэкологических наук, экологической экономики, сельского хозяйства, управления природными ресурсами, экологической политики, сельского развития или другой тесно связанной области.</w:t>
            </w:r>
          </w:p>
        </w:tc>
        <w:tc>
          <w:tcPr>
            <w:tcW w:w="964" w:type="dxa"/>
            <w:vMerge/>
          </w:tcPr>
          <w:p w14:paraId="43256F20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14:paraId="0E2502A8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2A42EA73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57CBE71" w14:textId="77777777" w:rsidR="00CE12E3" w:rsidRPr="000323D3" w:rsidRDefault="00CE12E3" w:rsidP="00920493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b w:val="0"/>
                <w:sz w:val="22"/>
              </w:rPr>
            </w:pPr>
            <w:r w:rsidRPr="000323D3">
              <w:rPr>
                <w:rFonts w:ascii="Arial" w:hAnsi="Arial"/>
                <w:b w:val="0"/>
                <w:sz w:val="22"/>
                <w:lang w:val="ru-RU"/>
              </w:rPr>
              <w:t>Более высокая степень образования в</w:t>
            </w:r>
            <w:r w:rsidRPr="000323D3">
              <w:rPr>
                <w:b w:val="0"/>
                <w:sz w:val="22"/>
              </w:rPr>
              <w:t xml:space="preserve"> области агроэкологических наук, экологической экономики, сельского хозяйства, управления природными ресурсами, экологической политики, сельского развития или другой тесно связанной области.</w:t>
            </w:r>
          </w:p>
        </w:tc>
        <w:tc>
          <w:tcPr>
            <w:tcW w:w="964" w:type="dxa"/>
            <w:vAlign w:val="center"/>
          </w:tcPr>
          <w:p w14:paraId="1DA2A981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15</w:t>
            </w:r>
          </w:p>
        </w:tc>
        <w:tc>
          <w:tcPr>
            <w:tcW w:w="931" w:type="dxa"/>
            <w:vAlign w:val="center"/>
          </w:tcPr>
          <w:p w14:paraId="044D730A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15</w:t>
            </w:r>
            <w:r w:rsidRPr="000323D3">
              <w:rPr>
                <w:sz w:val="22"/>
              </w:rPr>
              <w:t>%</w:t>
            </w:r>
          </w:p>
        </w:tc>
      </w:tr>
      <w:tr w:rsidR="00CE12E3" w:rsidRPr="000323D3" w14:paraId="1BD3EF71" w14:textId="77777777" w:rsidTr="00920493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642910DF" w14:textId="77777777" w:rsidR="00CE12E3" w:rsidRPr="000323D3" w:rsidRDefault="00CE12E3" w:rsidP="00920493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Опыт</w:t>
            </w:r>
          </w:p>
        </w:tc>
        <w:tc>
          <w:tcPr>
            <w:tcW w:w="964" w:type="dxa"/>
          </w:tcPr>
          <w:p w14:paraId="167925B6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40A883C5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7916145C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2C95717B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Не менее 5 лет подтвержденного профессионального опыта в разработке, развитии политики или консультативной поддержке схем агроэкологических платежей (AES/AEPS), платежей за экосистемные услуги (PES) или аналогичных стимулирующих инструментов экологического финансирования, поддерживающих устойчивое управление земельными ресурсами и сохранение биоразнообразия.</w:t>
            </w:r>
          </w:p>
        </w:tc>
        <w:tc>
          <w:tcPr>
            <w:tcW w:w="964" w:type="dxa"/>
            <w:vAlign w:val="center"/>
          </w:tcPr>
          <w:p w14:paraId="7C2F54B2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20</w:t>
            </w:r>
          </w:p>
        </w:tc>
        <w:tc>
          <w:tcPr>
            <w:tcW w:w="931" w:type="dxa"/>
            <w:vMerge w:val="restart"/>
            <w:vAlign w:val="center"/>
          </w:tcPr>
          <w:p w14:paraId="3ED128C6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60%</w:t>
            </w:r>
          </w:p>
        </w:tc>
      </w:tr>
      <w:tr w:rsidR="00CE12E3" w:rsidRPr="000323D3" w14:paraId="11D6ABC9" w14:textId="77777777" w:rsidTr="0092049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5F1804DB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Подтвержденная высокоуровневая техническая экспертиза в области агроэкологических мер, устойчивых сельскохозяйственных практик, нейтральности деградации земель (LDN) и ландшафтных подходов к управлению экосистемами.</w:t>
            </w:r>
          </w:p>
        </w:tc>
        <w:tc>
          <w:tcPr>
            <w:tcW w:w="964" w:type="dxa"/>
            <w:vAlign w:val="center"/>
          </w:tcPr>
          <w:p w14:paraId="377F3414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20</w:t>
            </w:r>
          </w:p>
        </w:tc>
        <w:tc>
          <w:tcPr>
            <w:tcW w:w="931" w:type="dxa"/>
            <w:vMerge/>
          </w:tcPr>
          <w:p w14:paraId="25FDBA09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2B2003B5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389008E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Подтвержденный опыт применения рамок, методологий и защитных механизмов ПРООН и/или ГЭФ, включая Социальные и экологические стандарты (SES), в сложных многосторонних проектах</w:t>
            </w:r>
          </w:p>
        </w:tc>
        <w:tc>
          <w:tcPr>
            <w:tcW w:w="964" w:type="dxa"/>
            <w:vAlign w:val="center"/>
          </w:tcPr>
          <w:p w14:paraId="69E72CD0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  <w:tc>
          <w:tcPr>
            <w:tcW w:w="931" w:type="dxa"/>
            <w:vMerge/>
          </w:tcPr>
          <w:p w14:paraId="64AF10AF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64E73646" w14:textId="77777777" w:rsidTr="00920493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63B1372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Предыдущий профессиональный опыт в Восточной Европе, странах СНГ или сопоставимых институциональных контекстах считается значительным преимуществом.</w:t>
            </w:r>
          </w:p>
        </w:tc>
        <w:tc>
          <w:tcPr>
            <w:tcW w:w="964" w:type="dxa"/>
            <w:vAlign w:val="center"/>
          </w:tcPr>
          <w:p w14:paraId="2365A3FA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  <w:tc>
          <w:tcPr>
            <w:tcW w:w="931" w:type="dxa"/>
            <w:vMerge/>
          </w:tcPr>
          <w:p w14:paraId="0D508411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5F3B1CF3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519FAD1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Хорошее понимание программной логики ГЭФ, рамок результатов и проектных циклов.</w:t>
            </w:r>
          </w:p>
        </w:tc>
        <w:tc>
          <w:tcPr>
            <w:tcW w:w="964" w:type="dxa"/>
            <w:vAlign w:val="center"/>
          </w:tcPr>
          <w:p w14:paraId="20B7E02C" w14:textId="77777777" w:rsidR="00CE12E3" w:rsidRPr="000323D3" w:rsidRDefault="00CE12E3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  <w:tc>
          <w:tcPr>
            <w:tcW w:w="931" w:type="dxa"/>
            <w:vMerge/>
          </w:tcPr>
          <w:p w14:paraId="491FACF5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79C9935F" w14:textId="77777777" w:rsidTr="00920493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9D29055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Подтвержденные знания гендерно-ориентированных и социально инклюзивных подходов в агроэкологических схемах и сельском развитии;</w:t>
            </w:r>
          </w:p>
        </w:tc>
        <w:tc>
          <w:tcPr>
            <w:tcW w:w="964" w:type="dxa"/>
            <w:vAlign w:val="center"/>
          </w:tcPr>
          <w:p w14:paraId="1DF808F6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  <w:tc>
          <w:tcPr>
            <w:tcW w:w="931" w:type="dxa"/>
            <w:vMerge/>
          </w:tcPr>
          <w:p w14:paraId="4F7C976A" w14:textId="77777777" w:rsidR="00CE12E3" w:rsidRPr="000323D3" w:rsidRDefault="00CE12E3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286780B2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527A9DC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Интервью</w:t>
            </w:r>
          </w:p>
        </w:tc>
        <w:tc>
          <w:tcPr>
            <w:tcW w:w="964" w:type="dxa"/>
            <w:vAlign w:val="center"/>
          </w:tcPr>
          <w:p w14:paraId="1DAC2AA0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70EBFD76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759C888B" w14:textId="77777777" w:rsidTr="0092049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25C0E4A3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Все кандидаты, вошедшие в короткий список, будут приглашены на интервью для подтверждения компетенций в соответствии с требованиями ТЗ.</w:t>
            </w:r>
          </w:p>
        </w:tc>
        <w:tc>
          <w:tcPr>
            <w:tcW w:w="964" w:type="dxa"/>
            <w:vAlign w:val="center"/>
          </w:tcPr>
          <w:p w14:paraId="74100EFD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  <w:tc>
          <w:tcPr>
            <w:tcW w:w="931" w:type="dxa"/>
            <w:vAlign w:val="center"/>
          </w:tcPr>
          <w:p w14:paraId="271BEE95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10%</w:t>
            </w:r>
          </w:p>
        </w:tc>
      </w:tr>
      <w:tr w:rsidR="00CE12E3" w:rsidRPr="000323D3" w14:paraId="6C3B0B1D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12F221A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 xml:space="preserve">Язык  </w:t>
            </w:r>
          </w:p>
        </w:tc>
        <w:tc>
          <w:tcPr>
            <w:tcW w:w="964" w:type="dxa"/>
            <w:vAlign w:val="center"/>
          </w:tcPr>
          <w:p w14:paraId="583BFE9C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14:paraId="10A3853C" w14:textId="77777777" w:rsidR="00CE12E3" w:rsidRPr="000323D3" w:rsidRDefault="00CE12E3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2E3" w:rsidRPr="000323D3" w14:paraId="444E9963" w14:textId="77777777" w:rsidTr="00920493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02639D8" w14:textId="77777777" w:rsidR="00CE12E3" w:rsidRPr="000323D3" w:rsidRDefault="00CE12E3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  <w:u w:val="single"/>
              </w:rPr>
            </w:pPr>
            <w:r w:rsidRPr="000323D3">
              <w:rPr>
                <w:b w:val="0"/>
                <w:sz w:val="22"/>
              </w:rPr>
              <w:t>Свободное владение письменным и устным английским языком обязательно; знание русского языка является преимуществом.</w:t>
            </w:r>
          </w:p>
        </w:tc>
        <w:tc>
          <w:tcPr>
            <w:tcW w:w="964" w:type="dxa"/>
            <w:vAlign w:val="center"/>
          </w:tcPr>
          <w:p w14:paraId="4585D2EF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  <w:tc>
          <w:tcPr>
            <w:tcW w:w="931" w:type="dxa"/>
          </w:tcPr>
          <w:p w14:paraId="39F9EEE5" w14:textId="77777777" w:rsidR="00CE12E3" w:rsidRPr="000323D3" w:rsidRDefault="00CE12E3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10%</w:t>
            </w:r>
          </w:p>
        </w:tc>
      </w:tr>
    </w:tbl>
    <w:p w14:paraId="165F4EC6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ФИНАНСОВОЕ ПРЕДЛОЖЕНИЕ</w:t>
      </w:r>
    </w:p>
    <w:p w14:paraId="615DB34E" w14:textId="77777777" w:rsidR="00CE12E3" w:rsidRPr="000323D3" w:rsidRDefault="00CE12E3" w:rsidP="00CE12E3">
      <w:pPr>
        <w:suppressAutoHyphens/>
        <w:spacing w:before="120" w:after="120"/>
        <w:ind w:left="-180" w:right="-18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 xml:space="preserve">После оценки технической части с кандидатами, вошедшими в короткий список, свяжутся для запроса финансового предложения с указанием единовременной суммы, включающей дневную ставку вознаграждения за выполнение данного задания и расходы, связанные с командировкой.   </w:t>
      </w:r>
    </w:p>
    <w:p w14:paraId="5F324657" w14:textId="77777777" w:rsidR="00825205" w:rsidRDefault="00825205" w:rsidP="00E53298">
      <w:pPr>
        <w:spacing w:line="360" w:lineRule="auto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79100D5C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46C1F4A9" w14:textId="77777777" w:rsidR="00CE12E3" w:rsidRDefault="00CE12E3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77DD7C07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7F79FE8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УСЛОВИЯ УЧАСТИЯ</w:t>
      </w:r>
    </w:p>
    <w:p w14:paraId="0625D0F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1. Участник, желающий принять участие в процедуре предварительного квалификационного отбора, должен соответствовать требованиям, изложенным в настоящем объявлении и техническом задании. Участник считается соответствующим 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квалификационным критериям, изложенным в настоящем подразделе, если он представил требуемую информацию в заявке.</w:t>
      </w:r>
    </w:p>
    <w:p w14:paraId="73CD70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2B4F015A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III. Упрощение получения и подачи заявок</w:t>
      </w:r>
    </w:p>
    <w:p w14:paraId="10F3A0A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Как внести изменения</w:t>
      </w:r>
    </w:p>
    <w:p w14:paraId="6D670107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Участник вправе запросить у комиссии разъяснения по объявлению о предварительном квалификационном отборе не позднее, чем за один рабочий день до истечения срока подачи заявок на предварительный квалификационный отбор. При этом разъяснения могут быть запрошены до 17:00 дня, указанного в настоящем пункте (время места проведения процедуры). Комиссия предоставляет разъяснения участнику, подавшему запрос, в течение одного рабочего дня со дня получения запроса, но не позднее, чем за 3 часа до истечения срока подачи заявок.</w:t>
      </w:r>
    </w:p>
    <w:p w14:paraId="239F6BF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этапе предварительного квалификационного отбора.</w:t>
      </w:r>
    </w:p>
    <w:p w14:paraId="35FED24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Участник подает запрос, указанный в настоящем пункте, путем направления его на электронную почту секретаря комиссии.</w:t>
      </w:r>
    </w:p>
    <w:p w14:paraId="0BD4DF6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Разъяснение по запросу направляется путем направления запроса на электронную почту участника с адреса электронной почты, предоставленного секретарем комиссии.</w:t>
      </w:r>
    </w:p>
    <w:p w14:paraId="008C544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Объявление о содержании запроса и разъяснениях публикуется в бюллетене в день предоставления разъяснений без указания данных участника, направившего запрос.</w:t>
      </w:r>
    </w:p>
    <w:p w14:paraId="228B09E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3. Разъяснение не предоставляется, если запрос был подан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 причинах непредставления разъяснений в течение одного календарного дня со дня получения запроса.</w:t>
      </w:r>
    </w:p>
    <w:p w14:paraId="4B07CD64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4.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</w:t>
      </w:r>
      <w:r w:rsidRPr="005259C1">
        <w:rPr>
          <w:rFonts w:ascii="Cambria Math" w:hAnsi="Cambria Math" w:cs="Cambria Math"/>
          <w:b/>
          <w:sz w:val="22"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внесения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изменени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>й, секретарь комиссии публикует объявление об изменении в бюллетене.</w:t>
      </w:r>
    </w:p>
    <w:p w14:paraId="055F5EF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бюллетене.</w:t>
      </w:r>
    </w:p>
    <w:p w14:paraId="36CA0B0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001616B0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IV. ПОРЯДОК ПОДАЧИ ЗАЯВКИ НА ПОДАЧУ ЗАЯВОК</w:t>
      </w:r>
    </w:p>
    <w:p w14:paraId="6A711D2D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Для участия в настоящей процедуре участник подает заявку в комиссию.</w:t>
      </w:r>
    </w:p>
    <w:p w14:paraId="10792CE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Участник может подать заявку на предварительную квалификацию в комиссию в электронном виде, отправив электронное письмо секретарю оценочной комиссии по адресу: purchase@epiu.am</w:t>
      </w:r>
    </w:p>
    <w:p w14:paraId="13BB7993" w14:textId="003202D1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3. Заявки на участие в процедуре должны быть поданы в комиссию 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не позднее 12:00</w:t>
      </w:r>
      <w:r w:rsidR="00A63361" w:rsidRPr="00A633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 xml:space="preserve">    </w:t>
      </w:r>
      <w:r w:rsidR="00325043" w:rsidRPr="00325043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 xml:space="preserve">25  </w:t>
      </w:r>
      <w:r w:rsidR="00A63361" w:rsidRPr="00A633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>мая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.</w:t>
      </w:r>
    </w:p>
    <w:p w14:paraId="1A33BAF8" w14:textId="167AC3A3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предварительную квалификацию необходимо подать в комиссию в срок, указанный в настоящем пункте, отправив их по электронной почте секретарю</w:t>
      </w:r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оценочной комиссии по адресу: </w:t>
      </w:r>
      <w:hyperlink r:id="rId9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en-US"/>
          </w:rPr>
          <w:t>procurement</w:t>
        </w:r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@epiu.am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, </w:t>
      </w:r>
      <w:hyperlink r:id="rId10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anna.hakobjan7222@gmail.com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</w:p>
    <w:p w14:paraId="4D98894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4. Заявки на предварительную квалификацию принимает и регистрирует в журнале заявок Анна Акопян, исполняющая обязанности ведущего специалиста отдела управления и закупок Управления по реализации природоохранных программ Министерства окружающей среды.</w:t>
      </w:r>
    </w:p>
    <w:p w14:paraId="6FD6F95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Заявки регистрируются секретарем в журнале в порядке поступления с указанием регистрационного номера, даты и времени в журнале. Сертификат 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выдается по заявлению участника. Заявки, поданные после истечения срока подачи заявок, в реестре не регистрируются и возвращаются секретарем в течение двух рабочих дней со дня их получения.</w:t>
      </w:r>
    </w:p>
    <w:p w14:paraId="2528D1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На этапе предквалификации участник представляет:</w:t>
      </w:r>
    </w:p>
    <w:p w14:paraId="29E6EF0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1) письменное заявление об участии в процедуре предквалификации, утвержденное им в соответствии с Приложением № 1;</w:t>
      </w:r>
    </w:p>
    <w:p w14:paraId="1B6BB276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2) заявление, утвержденное им в соответствии с Приложением № 2, о соответствии требованиям квалификационного критерия «Соответствие профессиональной деятельности деятельности, предусмотренной договором», установленным настоящим объявлением;</w:t>
      </w:r>
    </w:p>
    <w:p w14:paraId="0DAA1C1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3) участники – физические лица также представляют резюме (CV), утвержденное данным лицом;</w:t>
      </w:r>
    </w:p>
    <w:p w14:paraId="5204027B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4) копию договора о совместной деятельности, если участники участвуют в данной процедуре в качестве совместного предприятия (консорциума).</w:t>
      </w:r>
    </w:p>
    <w:p w14:paraId="5D2C637F" w14:textId="7EE01301" w:rsidR="00E925BE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6. Заявки на предквалификацию, помимо армянского языка, могут быть поданы также на английском или русском языках. 7. Документы, оформляемые участником в соответствии с настоящим объявлением, подписываются лицом, их представляющим, или уполномоченным им лицом (далее – агент). В случае подачи заявки на участие в предварительной квалификации агентом, документ, подтверждающий предоставление ему таких полномочий, должен быть представлен вместе с заявкой. При необходимости участник вправе представить требуемую информацию иными способами, нежели предложенные в настоящем объявлении, с соблюдением необходимых условий действительности.</w:t>
      </w:r>
    </w:p>
    <w:p w14:paraId="754603E6" w14:textId="77777777" w:rsidR="005259C1" w:rsidRPr="00CA0534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</w:rPr>
      </w:pPr>
    </w:p>
    <w:p w14:paraId="292BEA3A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V. ВСКРЫТИЕ, ОЦЕНКА И ПОДВЕДЕНИЕ РЕЗУЛЬТАТОВ</w:t>
      </w:r>
    </w:p>
    <w:p w14:paraId="14C58412" w14:textId="635B95BA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1. Вскрытие, оценка и подведение итогов по предквалификационным заявкам проводятся на заседании по вскрыт</w:t>
      </w:r>
      <w:r w:rsidR="005C68FC">
        <w:rPr>
          <w:rFonts w:ascii="GHEA Grapalat" w:hAnsi="GHEA Grapalat" w:cs="Calibri"/>
          <w:b/>
          <w:noProof/>
          <w:szCs w:val="22"/>
          <w:lang w:val="af-ZA"/>
        </w:rPr>
        <w:t>ию предквалификационных заявок</w:t>
      </w:r>
      <w:r w:rsidR="005C68FC">
        <w:rPr>
          <w:rFonts w:ascii="GHEA Grapalat" w:hAnsi="GHEA Grapalat" w:cs="Calibri"/>
          <w:b/>
          <w:noProof/>
          <w:szCs w:val="22"/>
          <w:lang w:val="ru-RU"/>
        </w:rPr>
        <w:t xml:space="preserve"> </w:t>
      </w:r>
      <w:r w:rsidR="00325043">
        <w:rPr>
          <w:rFonts w:ascii="GHEA Grapalat" w:hAnsi="GHEA Grapalat" w:cs="Calibri"/>
          <w:b/>
          <w:noProof/>
          <w:szCs w:val="22"/>
        </w:rPr>
        <w:t>25</w:t>
      </w:r>
      <w:bookmarkStart w:id="0" w:name="_GoBack"/>
      <w:bookmarkEnd w:id="0"/>
      <w:r w:rsidR="005C68FC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="005C68FC" w:rsidRPr="005C68FC">
        <w:rPr>
          <w:rFonts w:ascii="GHEA Grapalat" w:hAnsi="GHEA Grapalat" w:cs="Calibri"/>
          <w:b/>
          <w:noProof/>
          <w:szCs w:val="22"/>
          <w:highlight w:val="yellow"/>
          <w:lang w:val="ru-RU"/>
        </w:rPr>
        <w:t>мая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 xml:space="preserve"> в 12:00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по адресу: г. Ереван, ул. Тиграна Меца, 65А.</w:t>
      </w:r>
    </w:p>
    <w:p w14:paraId="78686793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2. На заседании по вскрытию и оценке предквалификационных заявок:</w:t>
      </w:r>
    </w:p>
    <w:p w14:paraId="585A65B7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секретарь комиссии предоставляет информацию о записях, внесенных в реестр, и передает председателю комиссии реестр заявок, другие документы, являющиеся его неотъемлемой частью, и зарегистрированные заявки.</w:t>
      </w:r>
    </w:p>
    <w:p w14:paraId="1EFD0C4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После передачи председателю (председателю заседания) документов, указанных в подпункте 1 настоящего пункта, комиссия оценивает: наличие необходимых (планируемых) документов и соответствие их оформления условиям годности, установленным настоящим объявлением.</w:t>
      </w:r>
    </w:p>
    <w:p w14:paraId="6CCDB23F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3. Предложения, соответствующие условиям, указанным в настоящем объявлении, считаются удовлетворительными. В противном случае предквалификационные заявки оцениваются как неудовлетворительные и отклоняются.</w:t>
      </w:r>
    </w:p>
    <w:p w14:paraId="2A3C17A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Если в результате оценки, проведенной в ходе вскрытия заявок на предварительный квалификационный отбор, в заявке участника выявлены несоответствия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их до истечения срока приостановления. При этом настоящим пунктом установлено:</w:t>
      </w:r>
    </w:p>
    <w:p w14:paraId="5E63D90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выявленные несоответствия должны быть подробно описаны в предложении.</w:t>
      </w:r>
    </w:p>
    <w:p w14:paraId="378AA5D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Предложение направляется участнику путем отправки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5D08BB9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4. В случае устранения участником выявленных несоответствий в течение указанного срока, заявка последнего считается удовлетворительной. В противном случае заявка оценивается как неудовлетворительная и отклоняется. Участник представляет исправленные документы с адреса электронной почты, указанного в заявке на участие в настоящей процедуре, на адрес электронной почты секретаря комиссии, указанный в настоящем объявлении.</w:t>
      </w:r>
    </w:p>
    <w:p w14:paraId="33124AB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5. Член Комиссии или Секретарь Комиссии не вправе участвовать в работе Комиссии, если на заседании по рассмотрению заявок на участие в предквалификационном отборе будет установлено, что организация, учредителем которой они являются или в которой они имеют долю (долю), либо лицо, состоящее с ними в близком родстве или свойстве (родитель, супруг, ребенок, брат, сестра, а также родитель, ребенок, брат, сестра супруга), либо организация, учредителем которой они являются или имеют долю (долю), подала заявку на участие в данной 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процедуре. При выполнении условия, указанного в настоящем пункте, член Комиссии или Секретарь, у которого возник конфликт интересов в связи с данной процедурой, немедленно после заседания по рассмотрению заявок на участие в предквалификационном отборе, обязан отказаться от участия в данной процедуре.</w:t>
      </w:r>
    </w:p>
    <w:p w14:paraId="5FC8BEF8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6. О вскрытии, оценке и подведении итогов рассмотрения заявок составляется протокол, в котором также утверждается список участников, прошедших предквалификационный отбор. Секретарь Комиссии обязан не позднее рабочего дня, следующего за днем </w:t>
      </w:r>
      <w:r w:rsidRPr="005259C1">
        <w:rPr>
          <w:rFonts w:ascii="Cambria Math" w:hAnsi="Cambria Math" w:cs="Cambria Math"/>
          <w:b/>
          <w:noProof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окончания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заседания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по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рассмотрению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заявок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,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включительно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>.</w:t>
      </w:r>
    </w:p>
    <w:p w14:paraId="3353194B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публикует в бюллетене распечатанные (сканированные) версии заявлений об отсутствии конфликта интересов, подписанные им и членами комиссии, присутствовавшими на вскрытии заявок.</w:t>
      </w:r>
    </w:p>
    <w:p w14:paraId="15FE2CF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информирует в электронном виде участников, представивших предложения, оцененные как неудовлетворительные в соответствии с условиями, предусмотренными настоящим объявлением, об основаниях отклонения предложений, прошедших предварительную квалификацию.</w:t>
      </w:r>
    </w:p>
    <w:p w14:paraId="5310981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7. Участники, прошедшие предварительную квалификацию, имеют право на дальнейшее участие в процедуре закупки.</w:t>
      </w:r>
    </w:p>
    <w:p w14:paraId="3EA85ED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</w:p>
    <w:p w14:paraId="5C4B0A7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 дополнительной информацией по настоящему объявлению обращайтесь к секретарю комиссии Анне Акопян.</w:t>
      </w:r>
    </w:p>
    <w:p w14:paraId="45DD3F1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Тел.: +010 651631</w:t>
      </w:r>
    </w:p>
    <w:p w14:paraId="53CA1040" w14:textId="66D06D4A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Эл. почта: </w:t>
      </w:r>
      <w:hyperlink r:id="rId11" w:history="1"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</w:rPr>
          <w:t>procurement</w:t>
        </w:r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  <w:lang w:val="af-ZA"/>
          </w:rPr>
          <w:t>@epiu.am</w:t>
        </w:r>
      </w:hyperlink>
      <w:r w:rsidR="005C68FC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</w:p>
    <w:p w14:paraId="3B75A2B9" w14:textId="09DE3840" w:rsidR="00E925BE" w:rsidRPr="00CA0534" w:rsidRDefault="005259C1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Заказчик: ООО «Подразделение по реализации экологических программ»</w:t>
      </w:r>
    </w:p>
    <w:p w14:paraId="2AF064BB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63552562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4881D6E" w14:textId="77777777" w:rsidR="00E925BE" w:rsidRPr="00CA0534" w:rsidRDefault="00E925BE" w:rsidP="006E05A1">
      <w:pPr>
        <w:pStyle w:val="norm"/>
        <w:spacing w:line="240" w:lineRule="auto"/>
        <w:ind w:firstLine="0"/>
        <w:rPr>
          <w:rFonts w:ascii="GHEA Grapalat" w:hAnsi="GHEA Grapalat" w:cs="Calibri"/>
          <w:szCs w:val="22"/>
          <w:lang w:val="af-ZA" w:eastAsia="en-US"/>
        </w:rPr>
      </w:pPr>
    </w:p>
    <w:p w14:paraId="04DDF655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23FC789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73D6B67F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0F241D47" w14:textId="77777777" w:rsidR="00E925BE" w:rsidRPr="00CA0534" w:rsidRDefault="00E925BE" w:rsidP="006E05A1">
      <w:pPr>
        <w:jc w:val="both"/>
        <w:rPr>
          <w:rFonts w:ascii="GHEA Grapalat" w:hAnsi="GHEA Grapalat" w:cs="Calibri"/>
          <w:noProof w:val="0"/>
          <w:sz w:val="22"/>
          <w:szCs w:val="22"/>
          <w:lang w:val="af-ZA" w:eastAsia="en-US"/>
        </w:rPr>
        <w:sectPr w:rsidR="00E925BE" w:rsidRPr="00CA0534" w:rsidSect="00E925BE">
          <w:footerReference w:type="default" r:id="rId12"/>
          <w:pgSz w:w="11906" w:h="16838"/>
          <w:pgMar w:top="1008" w:right="926" w:bottom="630" w:left="1627" w:header="720" w:footer="144" w:gutter="0"/>
          <w:cols w:space="720"/>
        </w:sectPr>
      </w:pPr>
    </w:p>
    <w:p w14:paraId="671044E7" w14:textId="77777777" w:rsidR="00C5478D" w:rsidRPr="001C6C3C" w:rsidRDefault="00C5478D" w:rsidP="006E05A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7630320C" w14:textId="77777777" w:rsidR="00C5478D" w:rsidRPr="001C6C3C" w:rsidRDefault="00C5478D" w:rsidP="006E05A1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1FCF849" w14:textId="44BF5FE6" w:rsidR="00C5478D" w:rsidRPr="005C68FC" w:rsidRDefault="00C5478D" w:rsidP="006E05A1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6/28</w:t>
      </w:r>
    </w:p>
    <w:p w14:paraId="50CDE129" w14:textId="77777777" w:rsidR="00C5478D" w:rsidRPr="001C6C3C" w:rsidRDefault="00C5478D" w:rsidP="006E05A1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0543B72B" w14:textId="77777777" w:rsidR="00C5478D" w:rsidRPr="001C6C3C" w:rsidRDefault="00C5478D" w:rsidP="005C68FC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11D694DC" w14:textId="77777777" w:rsidR="00C5478D" w:rsidRPr="001C6C3C" w:rsidRDefault="00C5478D" w:rsidP="006E05A1">
      <w:pPr>
        <w:pStyle w:val="6"/>
        <w:keepNext w:val="0"/>
        <w:widowControl w:val="0"/>
        <w:spacing w:after="160" w:line="360" w:lineRule="auto"/>
        <w:ind w:left="567" w:right="567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0198426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</w:p>
    <w:p w14:paraId="1DEFA9E8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E55E5C0" w14:textId="77777777" w:rsidR="00C5478D" w:rsidRPr="001C6C3C" w:rsidRDefault="00C5478D" w:rsidP="00C5478D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05BC0A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2AF9BE13" w14:textId="4E330A2B" w:rsidR="00C5478D" w:rsidRPr="001C6C3C" w:rsidRDefault="00C5478D" w:rsidP="00C5478D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6/28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 _________________________________________</w:t>
      </w:r>
    </w:p>
    <w:p w14:paraId="49FDB3B9" w14:textId="77777777" w:rsidR="00C5478D" w:rsidRPr="001C6C3C" w:rsidRDefault="00C5478D" w:rsidP="00C5478D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24E48B5D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6EC32960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01749BA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2874362B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0D4EE20C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264292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62F505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6CDAF6D4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73C1881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784DF8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F7F657A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6564DEB2" w14:textId="77777777" w:rsidR="00C5478D" w:rsidRPr="001C6C3C" w:rsidRDefault="00C5478D" w:rsidP="00C5478D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69C049A6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10D6503B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5478D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8D0A2A1" w14:textId="77777777" w:rsidR="00C5478D" w:rsidRPr="001C6C3C" w:rsidRDefault="00C5478D" w:rsidP="00C5478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46FBC0FF" w14:textId="77777777" w:rsidR="00C5478D" w:rsidRPr="001C6C3C" w:rsidRDefault="00C5478D" w:rsidP="00C5478D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327CD8E" w14:textId="7E401658" w:rsidR="00C5478D" w:rsidRPr="005C68FC" w:rsidRDefault="00C5478D" w:rsidP="00C5478D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6/28</w:t>
      </w:r>
    </w:p>
    <w:p w14:paraId="69058F09" w14:textId="77777777" w:rsidR="00C5478D" w:rsidRPr="001C6C3C" w:rsidRDefault="00C5478D" w:rsidP="00C5478D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154D2CEE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4CC16613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3275C8E9" w14:textId="77777777" w:rsidR="00C5478D" w:rsidRPr="001C6C3C" w:rsidRDefault="00C5478D" w:rsidP="00C5478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6BA95C99" w14:textId="77777777" w:rsidR="00C5478D" w:rsidRPr="001C6C3C" w:rsidRDefault="00C5478D" w:rsidP="00C5478D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B523E22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C5478D" w:rsidRPr="001C6C3C" w14:paraId="4C448EC7" w14:textId="77777777" w:rsidTr="006B786F">
        <w:tc>
          <w:tcPr>
            <w:tcW w:w="9543" w:type="dxa"/>
            <w:gridSpan w:val="6"/>
            <w:vAlign w:val="center"/>
          </w:tcPr>
          <w:p w14:paraId="7D26958F" w14:textId="77777777" w:rsidR="00C5478D" w:rsidRPr="001C6C3C" w:rsidRDefault="00C5478D" w:rsidP="006B786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5478D" w:rsidRPr="005C70A0" w14:paraId="24174EFE" w14:textId="77777777" w:rsidTr="006B786F">
        <w:tc>
          <w:tcPr>
            <w:tcW w:w="558" w:type="dxa"/>
          </w:tcPr>
          <w:p w14:paraId="7D263DA2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F176BC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008EC2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FC009D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0546541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7615241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C5478D" w:rsidRPr="001C6C3C" w14:paraId="3CC7A19E" w14:textId="77777777" w:rsidTr="006B786F">
        <w:tc>
          <w:tcPr>
            <w:tcW w:w="558" w:type="dxa"/>
          </w:tcPr>
          <w:p w14:paraId="2D3E33D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4656FF6B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2917694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17EC2E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70858D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645BF4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312B643D" w14:textId="77777777" w:rsidTr="006B786F">
        <w:tc>
          <w:tcPr>
            <w:tcW w:w="558" w:type="dxa"/>
          </w:tcPr>
          <w:p w14:paraId="519005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D27A80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65B43E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9C05BA1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38816A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6DA563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1F748F35" w14:textId="77777777" w:rsidTr="006B786F">
        <w:tc>
          <w:tcPr>
            <w:tcW w:w="558" w:type="dxa"/>
          </w:tcPr>
          <w:p w14:paraId="68B1383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71C6C828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1F9A47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280FE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7B9B5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9C40F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5A6B16E" w14:textId="77777777" w:rsidR="00C5478D" w:rsidRPr="001C6C3C" w:rsidRDefault="00C5478D" w:rsidP="00C5478D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6F1A63E" w14:textId="62EA055E" w:rsidR="00C5478D" w:rsidRPr="001C6C3C" w:rsidRDefault="00C5478D" w:rsidP="00C5478D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i/>
          <w:sz w:val="22"/>
          <w:szCs w:val="22"/>
        </w:rPr>
        <w:t>X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6/28</w:t>
      </w:r>
      <w:r w:rsidRPr="0069583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2F839E32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6758BFCD" w14:textId="77777777" w:rsidR="00C5478D" w:rsidRPr="001C6C3C" w:rsidRDefault="00C5478D" w:rsidP="00C5478D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52C2FAEE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D21660A" w14:textId="77777777" w:rsidR="00C5478D" w:rsidRPr="001C6C3C" w:rsidRDefault="00C5478D" w:rsidP="00C5478D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CA0534" w:rsidRDefault="00133660" w:rsidP="00C5478D">
      <w:pPr>
        <w:jc w:val="right"/>
        <w:rPr>
          <w:rFonts w:ascii="GHEA Grapalat" w:hAnsi="GHEA Grapalat" w:cs="Calibri"/>
          <w:sz w:val="22"/>
          <w:szCs w:val="22"/>
        </w:rPr>
      </w:pPr>
    </w:p>
    <w:sectPr w:rsidR="00133660" w:rsidRPr="00CA0534" w:rsidSect="00275703">
      <w:footerReference w:type="default" r:id="rId13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2F9C3" w14:textId="77777777" w:rsidR="000C46C3" w:rsidRDefault="000C46C3" w:rsidP="00F055BD">
      <w:r>
        <w:separator/>
      </w:r>
    </w:p>
  </w:endnote>
  <w:endnote w:type="continuationSeparator" w:id="0">
    <w:p w14:paraId="7EF1B5D4" w14:textId="77777777" w:rsidR="000C46C3" w:rsidRDefault="000C46C3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7113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EFE08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25043">
          <w:t>1</w:t>
        </w:r>
        <w:r>
          <w:fldChar w:fldCharType="end"/>
        </w:r>
      </w:p>
    </w:sdtContent>
  </w:sdt>
  <w:p w14:paraId="0F8438E6" w14:textId="77777777" w:rsidR="004D0FE4" w:rsidRDefault="004D0F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98136"/>
      <w:docPartObj>
        <w:docPartGallery w:val="Page Numbers (Bottom of Page)"/>
        <w:docPartUnique/>
      </w:docPartObj>
    </w:sdtPr>
    <w:sdtEndPr/>
    <w:sdtContent>
      <w:p w14:paraId="69FACB80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25043">
          <w:t>9</w:t>
        </w:r>
        <w:r>
          <w:fldChar w:fldCharType="end"/>
        </w:r>
      </w:p>
    </w:sdtContent>
  </w:sdt>
  <w:p w14:paraId="555DD931" w14:textId="77777777" w:rsidR="004D0FE4" w:rsidRDefault="004D0FE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3E7D" w14:textId="77777777" w:rsidR="00297409" w:rsidRPr="002A1400" w:rsidRDefault="000C46C3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AC202" w14:textId="77777777" w:rsidR="000C46C3" w:rsidRDefault="000C46C3" w:rsidP="00F055BD">
      <w:r>
        <w:separator/>
      </w:r>
    </w:p>
  </w:footnote>
  <w:footnote w:type="continuationSeparator" w:id="0">
    <w:p w14:paraId="4F90692C" w14:textId="77777777" w:rsidR="000C46C3" w:rsidRDefault="000C46C3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53F45"/>
    <w:multiLevelType w:val="hybridMultilevel"/>
    <w:tmpl w:val="1220A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F40D92"/>
    <w:multiLevelType w:val="hybridMultilevel"/>
    <w:tmpl w:val="A9B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41B28"/>
    <w:multiLevelType w:val="multilevel"/>
    <w:tmpl w:val="1D9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4763A"/>
    <w:multiLevelType w:val="hybridMultilevel"/>
    <w:tmpl w:val="D1B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B22F6"/>
    <w:multiLevelType w:val="multilevel"/>
    <w:tmpl w:val="CF4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58F"/>
    <w:multiLevelType w:val="multilevel"/>
    <w:tmpl w:val="CDE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B5A9C"/>
    <w:multiLevelType w:val="hybridMultilevel"/>
    <w:tmpl w:val="A68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46B0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B248B"/>
    <w:rsid w:val="000B2D38"/>
    <w:rsid w:val="000B56D3"/>
    <w:rsid w:val="000C2E3D"/>
    <w:rsid w:val="000C3737"/>
    <w:rsid w:val="000C46C3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A01"/>
    <w:rsid w:val="00122094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076"/>
    <w:rsid w:val="0016225F"/>
    <w:rsid w:val="001633C9"/>
    <w:rsid w:val="0016555B"/>
    <w:rsid w:val="00166FD9"/>
    <w:rsid w:val="001778D1"/>
    <w:rsid w:val="001923B3"/>
    <w:rsid w:val="00196A59"/>
    <w:rsid w:val="001A0C50"/>
    <w:rsid w:val="001A277D"/>
    <w:rsid w:val="001A5AF6"/>
    <w:rsid w:val="001B2424"/>
    <w:rsid w:val="001C4A90"/>
    <w:rsid w:val="001C5570"/>
    <w:rsid w:val="001D068B"/>
    <w:rsid w:val="001D5881"/>
    <w:rsid w:val="001E551A"/>
    <w:rsid w:val="001F1E7C"/>
    <w:rsid w:val="001F2088"/>
    <w:rsid w:val="001F48E2"/>
    <w:rsid w:val="001F5553"/>
    <w:rsid w:val="00201600"/>
    <w:rsid w:val="00223F35"/>
    <w:rsid w:val="00233D04"/>
    <w:rsid w:val="00240BAD"/>
    <w:rsid w:val="00241744"/>
    <w:rsid w:val="0024460A"/>
    <w:rsid w:val="002453AD"/>
    <w:rsid w:val="00246F30"/>
    <w:rsid w:val="00255709"/>
    <w:rsid w:val="00266F5D"/>
    <w:rsid w:val="0027665C"/>
    <w:rsid w:val="00276D86"/>
    <w:rsid w:val="00294432"/>
    <w:rsid w:val="00295B5A"/>
    <w:rsid w:val="002A4E80"/>
    <w:rsid w:val="002B7DB5"/>
    <w:rsid w:val="002C2477"/>
    <w:rsid w:val="002C34B3"/>
    <w:rsid w:val="002C5CE8"/>
    <w:rsid w:val="002C5DB6"/>
    <w:rsid w:val="002C67E4"/>
    <w:rsid w:val="002E4A2E"/>
    <w:rsid w:val="002E6538"/>
    <w:rsid w:val="002F17C8"/>
    <w:rsid w:val="002F2AFA"/>
    <w:rsid w:val="00303C22"/>
    <w:rsid w:val="00306987"/>
    <w:rsid w:val="00311C3D"/>
    <w:rsid w:val="00312770"/>
    <w:rsid w:val="00316766"/>
    <w:rsid w:val="00324EFD"/>
    <w:rsid w:val="00325043"/>
    <w:rsid w:val="00334D56"/>
    <w:rsid w:val="0034057D"/>
    <w:rsid w:val="00342CEF"/>
    <w:rsid w:val="0035121E"/>
    <w:rsid w:val="003524BC"/>
    <w:rsid w:val="00353ED6"/>
    <w:rsid w:val="00357DC8"/>
    <w:rsid w:val="00360117"/>
    <w:rsid w:val="003615A1"/>
    <w:rsid w:val="003627ED"/>
    <w:rsid w:val="00363462"/>
    <w:rsid w:val="00364EC1"/>
    <w:rsid w:val="00367247"/>
    <w:rsid w:val="003708E0"/>
    <w:rsid w:val="003749B9"/>
    <w:rsid w:val="00385555"/>
    <w:rsid w:val="003865BA"/>
    <w:rsid w:val="00386C67"/>
    <w:rsid w:val="003B2DCE"/>
    <w:rsid w:val="003B3EA5"/>
    <w:rsid w:val="003C5E85"/>
    <w:rsid w:val="003D67A9"/>
    <w:rsid w:val="003D7224"/>
    <w:rsid w:val="003E31E4"/>
    <w:rsid w:val="003E522F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1F84"/>
    <w:rsid w:val="0043549E"/>
    <w:rsid w:val="0043552A"/>
    <w:rsid w:val="00437223"/>
    <w:rsid w:val="00437326"/>
    <w:rsid w:val="00437D97"/>
    <w:rsid w:val="00441B90"/>
    <w:rsid w:val="00454261"/>
    <w:rsid w:val="004604DB"/>
    <w:rsid w:val="0046162A"/>
    <w:rsid w:val="004674B5"/>
    <w:rsid w:val="00470D24"/>
    <w:rsid w:val="0047110D"/>
    <w:rsid w:val="00471EC2"/>
    <w:rsid w:val="00472B03"/>
    <w:rsid w:val="004750A0"/>
    <w:rsid w:val="00480B3C"/>
    <w:rsid w:val="00487BD4"/>
    <w:rsid w:val="004903AE"/>
    <w:rsid w:val="00494581"/>
    <w:rsid w:val="004945D9"/>
    <w:rsid w:val="004958A6"/>
    <w:rsid w:val="004A4970"/>
    <w:rsid w:val="004A7720"/>
    <w:rsid w:val="004B173C"/>
    <w:rsid w:val="004C3083"/>
    <w:rsid w:val="004D0FE4"/>
    <w:rsid w:val="004D2ED7"/>
    <w:rsid w:val="004D4258"/>
    <w:rsid w:val="004D559B"/>
    <w:rsid w:val="004E352A"/>
    <w:rsid w:val="004E5388"/>
    <w:rsid w:val="004F7BF9"/>
    <w:rsid w:val="004F7E2B"/>
    <w:rsid w:val="00516A63"/>
    <w:rsid w:val="00523944"/>
    <w:rsid w:val="005259C1"/>
    <w:rsid w:val="00530419"/>
    <w:rsid w:val="005336B6"/>
    <w:rsid w:val="00536EF1"/>
    <w:rsid w:val="00542C99"/>
    <w:rsid w:val="0055126B"/>
    <w:rsid w:val="00555AC9"/>
    <w:rsid w:val="00562ED4"/>
    <w:rsid w:val="00573D43"/>
    <w:rsid w:val="00583B54"/>
    <w:rsid w:val="0058441E"/>
    <w:rsid w:val="00584618"/>
    <w:rsid w:val="0058666A"/>
    <w:rsid w:val="00591A87"/>
    <w:rsid w:val="005A0E34"/>
    <w:rsid w:val="005A2E1B"/>
    <w:rsid w:val="005A3AFC"/>
    <w:rsid w:val="005A6DD3"/>
    <w:rsid w:val="005B4029"/>
    <w:rsid w:val="005C68FC"/>
    <w:rsid w:val="005C7DE5"/>
    <w:rsid w:val="005D57C9"/>
    <w:rsid w:val="005D6547"/>
    <w:rsid w:val="005E36D0"/>
    <w:rsid w:val="005E61A3"/>
    <w:rsid w:val="005F140E"/>
    <w:rsid w:val="005F50B9"/>
    <w:rsid w:val="006055F5"/>
    <w:rsid w:val="00605627"/>
    <w:rsid w:val="00615F76"/>
    <w:rsid w:val="0062504E"/>
    <w:rsid w:val="00634B0B"/>
    <w:rsid w:val="006353BF"/>
    <w:rsid w:val="0064149A"/>
    <w:rsid w:val="00642050"/>
    <w:rsid w:val="0064252A"/>
    <w:rsid w:val="00645EBF"/>
    <w:rsid w:val="00651232"/>
    <w:rsid w:val="00654A77"/>
    <w:rsid w:val="00656112"/>
    <w:rsid w:val="00656519"/>
    <w:rsid w:val="00660236"/>
    <w:rsid w:val="00661C60"/>
    <w:rsid w:val="00663A87"/>
    <w:rsid w:val="0067364D"/>
    <w:rsid w:val="0067687B"/>
    <w:rsid w:val="006808BD"/>
    <w:rsid w:val="006932B9"/>
    <w:rsid w:val="006A2807"/>
    <w:rsid w:val="006A4652"/>
    <w:rsid w:val="006B0D00"/>
    <w:rsid w:val="006C00B5"/>
    <w:rsid w:val="006C2C0D"/>
    <w:rsid w:val="006D08BC"/>
    <w:rsid w:val="006D3468"/>
    <w:rsid w:val="006D438E"/>
    <w:rsid w:val="006D6FE1"/>
    <w:rsid w:val="006E05A1"/>
    <w:rsid w:val="006E140A"/>
    <w:rsid w:val="006E3BAE"/>
    <w:rsid w:val="006E68C5"/>
    <w:rsid w:val="006F02B6"/>
    <w:rsid w:val="006F3DFA"/>
    <w:rsid w:val="006F425B"/>
    <w:rsid w:val="00702F70"/>
    <w:rsid w:val="00705AFC"/>
    <w:rsid w:val="007073B3"/>
    <w:rsid w:val="00710258"/>
    <w:rsid w:val="00721757"/>
    <w:rsid w:val="00724DA7"/>
    <w:rsid w:val="007308A5"/>
    <w:rsid w:val="0073133A"/>
    <w:rsid w:val="00731A7C"/>
    <w:rsid w:val="00735734"/>
    <w:rsid w:val="007432C7"/>
    <w:rsid w:val="0074408F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A5C10"/>
    <w:rsid w:val="007A7713"/>
    <w:rsid w:val="007B6F9C"/>
    <w:rsid w:val="007C1267"/>
    <w:rsid w:val="007C39A4"/>
    <w:rsid w:val="007C3FEB"/>
    <w:rsid w:val="007D01DC"/>
    <w:rsid w:val="007D15DC"/>
    <w:rsid w:val="007D250D"/>
    <w:rsid w:val="007D6EB1"/>
    <w:rsid w:val="007E7DCA"/>
    <w:rsid w:val="007F0F8F"/>
    <w:rsid w:val="007F7D66"/>
    <w:rsid w:val="00806D7B"/>
    <w:rsid w:val="008075D9"/>
    <w:rsid w:val="00820593"/>
    <w:rsid w:val="00820934"/>
    <w:rsid w:val="008225F1"/>
    <w:rsid w:val="00824424"/>
    <w:rsid w:val="00825205"/>
    <w:rsid w:val="00831206"/>
    <w:rsid w:val="0083133D"/>
    <w:rsid w:val="0083487A"/>
    <w:rsid w:val="00843F1D"/>
    <w:rsid w:val="00843FFA"/>
    <w:rsid w:val="0084612A"/>
    <w:rsid w:val="00847B19"/>
    <w:rsid w:val="00852550"/>
    <w:rsid w:val="0086052A"/>
    <w:rsid w:val="00862292"/>
    <w:rsid w:val="00865D29"/>
    <w:rsid w:val="00865FDE"/>
    <w:rsid w:val="00870FF0"/>
    <w:rsid w:val="008735EA"/>
    <w:rsid w:val="0087797B"/>
    <w:rsid w:val="00881736"/>
    <w:rsid w:val="00885141"/>
    <w:rsid w:val="0089561F"/>
    <w:rsid w:val="008A1FA4"/>
    <w:rsid w:val="008B2C05"/>
    <w:rsid w:val="008C29E6"/>
    <w:rsid w:val="008C55F1"/>
    <w:rsid w:val="008C579A"/>
    <w:rsid w:val="008F209A"/>
    <w:rsid w:val="008F3A33"/>
    <w:rsid w:val="00901FB4"/>
    <w:rsid w:val="009046F0"/>
    <w:rsid w:val="00906FBE"/>
    <w:rsid w:val="00923C7B"/>
    <w:rsid w:val="0092578F"/>
    <w:rsid w:val="00925DF3"/>
    <w:rsid w:val="00927A7F"/>
    <w:rsid w:val="00931961"/>
    <w:rsid w:val="009667AA"/>
    <w:rsid w:val="0097690A"/>
    <w:rsid w:val="00977635"/>
    <w:rsid w:val="00995D17"/>
    <w:rsid w:val="009967B1"/>
    <w:rsid w:val="00997CCD"/>
    <w:rsid w:val="009A7FE5"/>
    <w:rsid w:val="009B54A3"/>
    <w:rsid w:val="009C0FF2"/>
    <w:rsid w:val="009C1B36"/>
    <w:rsid w:val="009D3752"/>
    <w:rsid w:val="009D4AB1"/>
    <w:rsid w:val="009D54B9"/>
    <w:rsid w:val="009D56F8"/>
    <w:rsid w:val="009E3F70"/>
    <w:rsid w:val="009E413B"/>
    <w:rsid w:val="009F7F1D"/>
    <w:rsid w:val="00A07E9B"/>
    <w:rsid w:val="00A16C21"/>
    <w:rsid w:val="00A17197"/>
    <w:rsid w:val="00A33547"/>
    <w:rsid w:val="00A3365F"/>
    <w:rsid w:val="00A33B37"/>
    <w:rsid w:val="00A37088"/>
    <w:rsid w:val="00A37EF6"/>
    <w:rsid w:val="00A429CB"/>
    <w:rsid w:val="00A5745B"/>
    <w:rsid w:val="00A63361"/>
    <w:rsid w:val="00A672DD"/>
    <w:rsid w:val="00A74620"/>
    <w:rsid w:val="00A946C7"/>
    <w:rsid w:val="00AA2DC4"/>
    <w:rsid w:val="00AB06F7"/>
    <w:rsid w:val="00AB1644"/>
    <w:rsid w:val="00AB52EB"/>
    <w:rsid w:val="00AB5FCB"/>
    <w:rsid w:val="00AC0F4E"/>
    <w:rsid w:val="00AC19D6"/>
    <w:rsid w:val="00AC22F7"/>
    <w:rsid w:val="00AD0A8B"/>
    <w:rsid w:val="00AD4B79"/>
    <w:rsid w:val="00AE1746"/>
    <w:rsid w:val="00AF71CB"/>
    <w:rsid w:val="00B0161B"/>
    <w:rsid w:val="00B1121A"/>
    <w:rsid w:val="00B14678"/>
    <w:rsid w:val="00B257FA"/>
    <w:rsid w:val="00B337B1"/>
    <w:rsid w:val="00B4141B"/>
    <w:rsid w:val="00B4276B"/>
    <w:rsid w:val="00B454D5"/>
    <w:rsid w:val="00B475BB"/>
    <w:rsid w:val="00B56D2F"/>
    <w:rsid w:val="00B63478"/>
    <w:rsid w:val="00B66254"/>
    <w:rsid w:val="00B73244"/>
    <w:rsid w:val="00B836DF"/>
    <w:rsid w:val="00B86FCC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478D"/>
    <w:rsid w:val="00C56269"/>
    <w:rsid w:val="00C57E98"/>
    <w:rsid w:val="00C64BB5"/>
    <w:rsid w:val="00C65810"/>
    <w:rsid w:val="00C70750"/>
    <w:rsid w:val="00C711EA"/>
    <w:rsid w:val="00C77BC4"/>
    <w:rsid w:val="00C81A99"/>
    <w:rsid w:val="00C84DA5"/>
    <w:rsid w:val="00C8556A"/>
    <w:rsid w:val="00C90E10"/>
    <w:rsid w:val="00C9273E"/>
    <w:rsid w:val="00C95D74"/>
    <w:rsid w:val="00CA0534"/>
    <w:rsid w:val="00CA0587"/>
    <w:rsid w:val="00CA1086"/>
    <w:rsid w:val="00CA2B85"/>
    <w:rsid w:val="00CA3835"/>
    <w:rsid w:val="00CA40F4"/>
    <w:rsid w:val="00CA47FD"/>
    <w:rsid w:val="00CA7D7B"/>
    <w:rsid w:val="00CC28FA"/>
    <w:rsid w:val="00CE12E3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47C0C"/>
    <w:rsid w:val="00D50656"/>
    <w:rsid w:val="00D57882"/>
    <w:rsid w:val="00D57D5D"/>
    <w:rsid w:val="00D60FB5"/>
    <w:rsid w:val="00D614F6"/>
    <w:rsid w:val="00D62B6C"/>
    <w:rsid w:val="00D64AC7"/>
    <w:rsid w:val="00D66ECA"/>
    <w:rsid w:val="00D71906"/>
    <w:rsid w:val="00D73411"/>
    <w:rsid w:val="00D76FF7"/>
    <w:rsid w:val="00D77110"/>
    <w:rsid w:val="00D8204B"/>
    <w:rsid w:val="00D830AD"/>
    <w:rsid w:val="00D83467"/>
    <w:rsid w:val="00D86722"/>
    <w:rsid w:val="00D92A62"/>
    <w:rsid w:val="00D93EB3"/>
    <w:rsid w:val="00D96FD9"/>
    <w:rsid w:val="00D9751F"/>
    <w:rsid w:val="00DA0E91"/>
    <w:rsid w:val="00DA3B70"/>
    <w:rsid w:val="00DA62F3"/>
    <w:rsid w:val="00DA7787"/>
    <w:rsid w:val="00DA7A98"/>
    <w:rsid w:val="00DA7BEF"/>
    <w:rsid w:val="00DB5808"/>
    <w:rsid w:val="00DB7639"/>
    <w:rsid w:val="00DC5A25"/>
    <w:rsid w:val="00DD297F"/>
    <w:rsid w:val="00DD3FBF"/>
    <w:rsid w:val="00DE4F0C"/>
    <w:rsid w:val="00DE56F1"/>
    <w:rsid w:val="00DE7369"/>
    <w:rsid w:val="00DF0E19"/>
    <w:rsid w:val="00DF1C1C"/>
    <w:rsid w:val="00E01BE3"/>
    <w:rsid w:val="00E022D3"/>
    <w:rsid w:val="00E11392"/>
    <w:rsid w:val="00E16394"/>
    <w:rsid w:val="00E17BF0"/>
    <w:rsid w:val="00E17EE7"/>
    <w:rsid w:val="00E22F6C"/>
    <w:rsid w:val="00E24DE5"/>
    <w:rsid w:val="00E26F6C"/>
    <w:rsid w:val="00E275CE"/>
    <w:rsid w:val="00E327CD"/>
    <w:rsid w:val="00E3428A"/>
    <w:rsid w:val="00E4560F"/>
    <w:rsid w:val="00E53298"/>
    <w:rsid w:val="00E53EE6"/>
    <w:rsid w:val="00E554CA"/>
    <w:rsid w:val="00E56262"/>
    <w:rsid w:val="00E56378"/>
    <w:rsid w:val="00E63085"/>
    <w:rsid w:val="00E70C62"/>
    <w:rsid w:val="00E77525"/>
    <w:rsid w:val="00E82CD9"/>
    <w:rsid w:val="00E82F51"/>
    <w:rsid w:val="00E925BE"/>
    <w:rsid w:val="00E926EB"/>
    <w:rsid w:val="00E973D8"/>
    <w:rsid w:val="00EA64D8"/>
    <w:rsid w:val="00EA6B83"/>
    <w:rsid w:val="00EC0326"/>
    <w:rsid w:val="00EC4836"/>
    <w:rsid w:val="00EC49C6"/>
    <w:rsid w:val="00ED5E7F"/>
    <w:rsid w:val="00ED79D2"/>
    <w:rsid w:val="00EE07DE"/>
    <w:rsid w:val="00EE2F17"/>
    <w:rsid w:val="00EE3C3C"/>
    <w:rsid w:val="00EE58DB"/>
    <w:rsid w:val="00F01193"/>
    <w:rsid w:val="00F03B8B"/>
    <w:rsid w:val="00F045EF"/>
    <w:rsid w:val="00F04F24"/>
    <w:rsid w:val="00F055BD"/>
    <w:rsid w:val="00F058AD"/>
    <w:rsid w:val="00F0606B"/>
    <w:rsid w:val="00F13A78"/>
    <w:rsid w:val="00F15AFD"/>
    <w:rsid w:val="00F250E3"/>
    <w:rsid w:val="00F40929"/>
    <w:rsid w:val="00F46D4F"/>
    <w:rsid w:val="00F56886"/>
    <w:rsid w:val="00F71CAE"/>
    <w:rsid w:val="00F72BC8"/>
    <w:rsid w:val="00F8458E"/>
    <w:rsid w:val="00F96803"/>
    <w:rsid w:val="00FA7ED4"/>
    <w:rsid w:val="00FB4EB2"/>
    <w:rsid w:val="00FC3A59"/>
    <w:rsid w:val="00FC7777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3246B01-54AC-4DCB-8DBB-F5E075E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99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34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1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basedOn w:val="a"/>
    <w:uiPriority w:val="99"/>
    <w:semiHidden/>
    <w:unhideWhenUsed/>
    <w:rsid w:val="00B63478"/>
  </w:style>
  <w:style w:type="character" w:customStyle="1" w:styleId="sr-only">
    <w:name w:val="sr-only"/>
    <w:basedOn w:val="a0"/>
    <w:rsid w:val="00E01BE3"/>
  </w:style>
  <w:style w:type="character" w:styleId="aff5">
    <w:name w:val="Strong"/>
    <w:basedOn w:val="a0"/>
    <w:uiPriority w:val="22"/>
    <w:qFormat/>
    <w:rsid w:val="006E140A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E53298"/>
    <w:rPr>
      <w:rFonts w:asciiTheme="minorHAnsi" w:eastAsiaTheme="minorHAnsi" w:hAnsiTheme="minorHAnsi" w:cstheme="minorBidi"/>
      <w:noProof w:val="0"/>
      <w:kern w:val="2"/>
      <w:sz w:val="20"/>
      <w:szCs w:val="20"/>
      <w:lang w:val="en-US" w:eastAsia="en-US"/>
      <w14:ligatures w14:val="standardContextual"/>
    </w:rPr>
  </w:style>
  <w:style w:type="character" w:customStyle="1" w:styleId="aff7">
    <w:name w:val="Текст сноски Знак"/>
    <w:basedOn w:val="a0"/>
    <w:link w:val="aff6"/>
    <w:uiPriority w:val="99"/>
    <w:semiHidden/>
    <w:rsid w:val="00E53298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E53298"/>
    <w:rPr>
      <w:vertAlign w:val="superscript"/>
    </w:rPr>
  </w:style>
  <w:style w:type="paragraph" w:styleId="aff9">
    <w:name w:val="TOC Heading"/>
    <w:basedOn w:val="1"/>
    <w:next w:val="a"/>
    <w:uiPriority w:val="39"/>
    <w:unhideWhenUsed/>
    <w:qFormat/>
    <w:rsid w:val="00E53298"/>
    <w:pPr>
      <w:spacing w:before="240" w:after="0" w:line="259" w:lineRule="auto"/>
      <w:outlineLvl w:val="9"/>
    </w:pPr>
    <w:rPr>
      <w:noProof w:val="0"/>
      <w:sz w:val="32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53298"/>
    <w:pPr>
      <w:tabs>
        <w:tab w:val="left" w:pos="450"/>
        <w:tab w:val="right" w:leader="dot" w:pos="9350"/>
      </w:tabs>
      <w:spacing w:after="100" w:line="278" w:lineRule="auto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E53298"/>
    <w:pPr>
      <w:tabs>
        <w:tab w:val="left" w:pos="630"/>
        <w:tab w:val="right" w:leader="dot" w:pos="9350"/>
      </w:tabs>
      <w:spacing w:after="100" w:line="278" w:lineRule="auto"/>
      <w:ind w:left="630" w:hanging="390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table" w:customStyle="1" w:styleId="-411">
    <w:name w:val="Таблица-сетка 4 — акцент 11"/>
    <w:basedOn w:val="a1"/>
    <w:uiPriority w:val="49"/>
    <w:rsid w:val="00CE12E3"/>
    <w:pPr>
      <w:spacing w:after="0" w:line="240" w:lineRule="auto"/>
    </w:pPr>
    <w:rPr>
      <w:rFonts w:ascii="DejaVu Sans" w:eastAsia="DejaVu Sans" w:hAnsi="DejaVu Sans" w:cs="DejaVu Sans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armenia/publications/conservation-and-sustainable-management-land-resources-and-high-value-ecosystems-lake-sevan-basin-multiple-benefit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epiu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.hakobjan72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epiu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13</Pages>
  <Words>4558</Words>
  <Characters>25983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61</cp:revision>
  <dcterms:created xsi:type="dcterms:W3CDTF">2025-07-30T05:42:00Z</dcterms:created>
  <dcterms:modified xsi:type="dcterms:W3CDTF">2026-05-11T12:55:00Z</dcterms:modified>
</cp:coreProperties>
</file>