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BD93989" w:rsidR="00716704" w:rsidRPr="00602352" w:rsidRDefault="004766DB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4766DB">
        <w:rPr>
          <w:rFonts w:ascii="GHEA Grapalat" w:hAnsi="GHEA Grapalat" w:cs="Sylfaen"/>
          <w:i/>
          <w:lang w:val="hy-AM"/>
        </w:rPr>
        <w:t>Աբովյան համայնքի կարիքների համար լուսավորության համակարգի կառուցման աշխատանքների իրականացման համար տեխնիկական հսկողության խորհրդատվական ծառայությունների</w:t>
      </w:r>
      <w:r w:rsidRPr="004766DB">
        <w:rPr>
          <w:rFonts w:ascii="Calibri" w:hAnsi="Calibri" w:cs="Calibri"/>
          <w:i/>
          <w:lang w:val="hy-AM"/>
        </w:rPr>
        <w:t> </w:t>
      </w:r>
      <w:r w:rsidRPr="004766DB">
        <w:rPr>
          <w:rFonts w:ascii="GHEA Grapalat" w:hAnsi="GHEA Grapalat" w:cs="Sylfaen"/>
          <w:i/>
          <w:lang w:val="hy-AM"/>
        </w:rPr>
        <w:t xml:space="preserve"> ձեռքբերման</w:t>
      </w:r>
      <w:r w:rsidRPr="004766DB">
        <w:rPr>
          <w:rFonts w:ascii="Calibri" w:hAnsi="Calibri" w:cs="Calibri"/>
          <w:i/>
          <w:lang w:val="hy-AM"/>
        </w:rPr>
        <w:t> </w:t>
      </w:r>
      <w:r w:rsidRPr="004766DB">
        <w:rPr>
          <w:rFonts w:ascii="GHEA Grapalat" w:hAnsi="GHEA Grapalat" w:cs="Sylfaen"/>
          <w:i/>
          <w:lang w:val="hy-AM"/>
        </w:rPr>
        <w:t>նպատակով «ԱԲՀ-ԲՄԽԾՁԲ-25/133»</w:t>
      </w:r>
      <w:r w:rsidR="00E557B3" w:rsidRPr="00E557B3">
        <w:rPr>
          <w:rFonts w:ascii="GHEA Grapalat" w:hAnsi="GHEA Grapalat" w:cs="Sylfaen"/>
          <w:i/>
          <w:lang w:val="hy-AM"/>
        </w:rPr>
        <w:t xml:space="preserve"> </w:t>
      </w:r>
      <w:r w:rsidR="00F76328" w:rsidRPr="00F76328">
        <w:rPr>
          <w:rFonts w:ascii="GHEA Grapalat" w:hAnsi="GHEA Grapalat" w:cs="Sylfaen"/>
          <w:i/>
          <w:lang w:val="hy-AM"/>
        </w:rPr>
        <w:t>ծածկագրով բաց մրցույթ</w:t>
      </w:r>
      <w:r w:rsidR="00331A17" w:rsidRPr="00F76328">
        <w:rPr>
          <w:rFonts w:ascii="GHEA Grapalat" w:hAnsi="GHEA Grapalat" w:cs="Sylfaen"/>
          <w:i/>
          <w:lang w:val="hy-AM"/>
        </w:rPr>
        <w:t xml:space="preserve">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39600201" w:rsidR="004C6E7E" w:rsidRPr="009438E6" w:rsidRDefault="00716704" w:rsidP="00E557B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 xml:space="preserve">заключенном по результатам </w:t>
      </w:r>
      <w:r w:rsidR="00F76328" w:rsidRPr="00F76328">
        <w:rPr>
          <w:rFonts w:ascii="GHEA Grapalat" w:hAnsi="GHEA Grapalat" w:cs="Sylfaen"/>
          <w:i/>
          <w:lang w:val="hy-AM"/>
        </w:rPr>
        <w:t>срочного</w:t>
      </w:r>
      <w:r w:rsidR="00F76328" w:rsidRPr="00A63F0D">
        <w:rPr>
          <w:rFonts w:ascii="GHEA Grapalat" w:hAnsi="GHEA Grapalat" w:cs="Sylfaen"/>
          <w:i/>
          <w:lang w:val="hy-AM"/>
        </w:rPr>
        <w:t xml:space="preserve"> </w:t>
      </w:r>
      <w:r w:rsidR="00331A17" w:rsidRPr="00A63F0D">
        <w:rPr>
          <w:rFonts w:ascii="GHEA Grapalat" w:hAnsi="GHEA Grapalat" w:cs="Sylfaen"/>
          <w:i/>
          <w:lang w:val="hy-AM"/>
        </w:rPr>
        <w:t>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E01D99">
        <w:rPr>
          <w:rFonts w:ascii="GHEA Grapalat" w:hAnsi="GHEA Grapalat" w:cs="Sylfaen"/>
          <w:i/>
          <w:lang w:val="hy-AM"/>
        </w:rPr>
        <w:t>ABH-HBMKhTsDzB-25/1</w:t>
      </w:r>
      <w:r w:rsidR="004766DB" w:rsidRPr="004766DB">
        <w:rPr>
          <w:rFonts w:ascii="GHEA Grapalat" w:hAnsi="GHEA Grapalat" w:cs="Sylfaen"/>
          <w:i/>
        </w:rPr>
        <w:t>33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E01D99" w:rsidRPr="00E01D99">
        <w:rPr>
          <w:rFonts w:ascii="GHEA Grapalat" w:hAnsi="GHEA Grapalat" w:cs="Sylfaen"/>
          <w:i/>
          <w:lang w:val="hy-AM"/>
        </w:rPr>
        <w:t xml:space="preserve">приобретение </w:t>
      </w:r>
      <w:r w:rsidR="004766DB" w:rsidRPr="004766DB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выполнением работ по строительству системы освещения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6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029"/>
        <w:gridCol w:w="100"/>
        <w:gridCol w:w="1249"/>
        <w:gridCol w:w="268"/>
        <w:gridCol w:w="468"/>
        <w:gridCol w:w="850"/>
        <w:gridCol w:w="152"/>
        <w:gridCol w:w="478"/>
        <w:gridCol w:w="363"/>
        <w:gridCol w:w="753"/>
        <w:gridCol w:w="664"/>
        <w:gridCol w:w="829"/>
        <w:gridCol w:w="589"/>
        <w:gridCol w:w="708"/>
        <w:gridCol w:w="567"/>
        <w:gridCol w:w="851"/>
        <w:gridCol w:w="1276"/>
        <w:gridCol w:w="425"/>
        <w:gridCol w:w="142"/>
        <w:gridCol w:w="1661"/>
        <w:gridCol w:w="40"/>
        <w:gridCol w:w="992"/>
        <w:gridCol w:w="1843"/>
      </w:tblGrid>
      <w:tr w:rsidR="0022631D" w:rsidRPr="00A63F0D" w14:paraId="3BCB0F4A" w14:textId="77777777" w:rsidTr="00C637DD">
        <w:trPr>
          <w:trHeight w:val="665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168" w:type="dxa"/>
            <w:gridSpan w:val="21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C637DD">
        <w:trPr>
          <w:trHeight w:val="110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ED08E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D08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անվանումը</w:t>
            </w:r>
            <w:r w:rsidR="00CE07F6" w:rsidRPr="00ED08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название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5E2A31" w:rsidRPr="00A63F0D" w14:paraId="02BE1D52" w14:textId="77777777" w:rsidTr="00C637DD">
        <w:trPr>
          <w:trHeight w:val="605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ED08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F4F19" w:rsidRPr="00A63F0D" w14:paraId="688F77C8" w14:textId="77777777" w:rsidTr="00C637DD">
        <w:trPr>
          <w:trHeight w:val="275"/>
        </w:trPr>
        <w:tc>
          <w:tcPr>
            <w:tcW w:w="12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D08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06E0" w:rsidRPr="004766DB" w14:paraId="60682EB9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2055799E" w14:textId="189B1798" w:rsidR="000006E0" w:rsidRPr="00A63F0D" w:rsidRDefault="000006E0" w:rsidP="008C4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774C8FDB" w:rsidR="000006E0" w:rsidRPr="00650F82" w:rsidRDefault="000006E0" w:rsidP="008C4AC4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ED08E3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Առինջ գյուղի Ա թաղամաս 4-րդ, 5-րդ և 6-րդ փողոցներիի, Բ թաղամաս 3-րդ, 4- րդ, 5-րդ և 7-րդ փողոցների </w:t>
            </w:r>
            <w:r w:rsidRPr="00ED08E3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>, Технический надзор и консультационные услуги по выполнению строительных работ по системе освещения 4-й, 5-й и 6-й улиц села Ариндж, района А, и 3-й, 4-й, 5-й и 7-й улиц района Б,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0006E0" w:rsidRPr="00A63F0D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0006E0" w:rsidRPr="006935EE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0006E0" w:rsidRPr="006935EE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7724702F" w:rsidR="000006E0" w:rsidRPr="00F76328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52563">
              <w:rPr>
                <w:rFonts w:ascii="GHEA Grapalat" w:hAnsi="GHEA Grapalat"/>
                <w:i/>
              </w:rPr>
              <w:t>520 000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6E2D9A73" w:rsidR="000006E0" w:rsidRPr="00F76328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52563">
              <w:rPr>
                <w:rFonts w:ascii="GHEA Grapalat" w:hAnsi="GHEA Grapalat"/>
                <w:i/>
              </w:rPr>
              <w:t>520 000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7EE1629D" w14:textId="77777777" w:rsidR="00CC38E8" w:rsidRPr="009438E6" w:rsidRDefault="00CC38E8" w:rsidP="00CC38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766DB">
              <w:rPr>
                <w:rFonts w:ascii="GHEA Grapalat" w:hAnsi="GHEA Grapalat" w:cs="Sylfaen"/>
                <w:i/>
                <w:lang w:val="hy-AM"/>
              </w:rPr>
              <w:t xml:space="preserve">Աբովյան համայնքի կարիքների համար լուսավորության համակարգի կառուցման աշխատանքների իրականացման համար տեխնիկական </w:t>
            </w:r>
            <w:r w:rsidRPr="004766DB">
              <w:rPr>
                <w:rFonts w:ascii="GHEA Grapalat" w:hAnsi="GHEA Grapalat" w:cs="Sylfaen"/>
                <w:i/>
                <w:lang w:val="hy-AM"/>
              </w:rPr>
              <w:lastRenderedPageBreak/>
              <w:t>հսկողության խորհրդատվական ծառայություններ</w:t>
            </w:r>
            <w:r w:rsidRPr="00CC38E8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E01D99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4766DB">
              <w:rPr>
                <w:rFonts w:ascii="GHEA Grapalat" w:hAnsi="GHEA Grapalat" w:cs="Sylfaen"/>
                <w:i/>
                <w:lang w:val="hy-AM"/>
              </w:rPr>
              <w:t>приобретение консультационных услуг по техническому надзору за выполнением работ по строительству системы освещения для нужд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  <w:p w14:paraId="1B3DCC68" w14:textId="18C9557D" w:rsidR="000006E0" w:rsidRPr="00CC38E8" w:rsidRDefault="000006E0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  <w:vAlign w:val="center"/>
          </w:tcPr>
          <w:p w14:paraId="0B9C75BB" w14:textId="77777777" w:rsidR="00CC38E8" w:rsidRPr="009438E6" w:rsidRDefault="00CC38E8" w:rsidP="00CC38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766DB">
              <w:rPr>
                <w:rFonts w:ascii="GHEA Grapalat" w:hAnsi="GHEA Grapalat" w:cs="Sylfaen"/>
                <w:i/>
                <w:lang w:val="hy-AM"/>
              </w:rPr>
              <w:lastRenderedPageBreak/>
              <w:t>Աբովյան համայնքի կարիքների համար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CC38E8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E01D99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4766DB">
              <w:rPr>
                <w:rFonts w:ascii="GHEA Grapalat" w:hAnsi="GHEA Grapalat" w:cs="Sylfaen"/>
                <w:i/>
                <w:lang w:val="hy-AM"/>
              </w:rPr>
              <w:t xml:space="preserve">приобретение консультационных услуг по техническому надзору за выполнением работ по </w:t>
            </w:r>
            <w:r w:rsidRPr="004766DB">
              <w:rPr>
                <w:rFonts w:ascii="GHEA Grapalat" w:hAnsi="GHEA Grapalat" w:cs="Sylfaen"/>
                <w:i/>
                <w:lang w:val="hy-AM"/>
              </w:rPr>
              <w:lastRenderedPageBreak/>
              <w:t>строительству системы освещения для нужд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  <w:p w14:paraId="2CD7731F" w14:textId="06D745C6" w:rsidR="000006E0" w:rsidRPr="00E01D99" w:rsidRDefault="000006E0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1A4E8904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4617CE63" w14:textId="51EB2A21" w:rsidR="000006E0" w:rsidRDefault="000006E0" w:rsidP="00ED0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59265" w14:textId="2B20D9F4" w:rsidR="000006E0" w:rsidRPr="00650F82" w:rsidRDefault="000006E0" w:rsidP="00ED08E3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ED08E3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Արամուս գյուղի Երիտասարդական թաղամասի 1-ին փողոցի և Անկախության թաղամասի 7- րդ փողոցի լուսավորության համակարգի կառուցման աշխատանքների իրականացման </w:t>
            </w:r>
            <w:r w:rsidRPr="00ED08E3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համար տեխնիկական հսկողության խորհրդատվական ծառայություններ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, 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>Консультационные услуги по техническому надзору за выполнением строительных работ по установке системы освещения на 1-й улице Еритасардакан квартала села Арамус общины Абовян и 7-й улице квартала Анкахутюн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EBC8" w14:textId="51A42451" w:rsidR="000006E0" w:rsidRPr="00A63F0D" w:rsidRDefault="000006E0" w:rsidP="00ED08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B2F3F" w14:textId="21120760" w:rsidR="000006E0" w:rsidRPr="006935EE" w:rsidRDefault="000006E0" w:rsidP="00ED08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06AB0" w14:textId="4BB1C072" w:rsidR="000006E0" w:rsidRPr="006935EE" w:rsidRDefault="000006E0" w:rsidP="00ED08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9C3DE" w14:textId="7FAFB131" w:rsidR="000006E0" w:rsidRPr="00ED08E3" w:rsidRDefault="000006E0" w:rsidP="00ED08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158 000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04FF" w14:textId="7C024F78" w:rsidR="000006E0" w:rsidRPr="00ED08E3" w:rsidRDefault="000006E0" w:rsidP="00ED08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158 000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2C889350" w14:textId="77777777" w:rsidR="000006E0" w:rsidRPr="00E01D99" w:rsidRDefault="000006E0" w:rsidP="00ED08E3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0E883464" w14:textId="77777777" w:rsidR="000006E0" w:rsidRPr="00E01D99" w:rsidRDefault="000006E0" w:rsidP="00ED08E3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42A81296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0FCDC579" w14:textId="44DDEC0B" w:rsidR="000006E0" w:rsidRDefault="000006E0" w:rsidP="00081F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D648F" w14:textId="282349BE" w:rsidR="000006E0" w:rsidRPr="00650F82" w:rsidRDefault="000006E0" w:rsidP="00081FFB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081FFB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Բալահովիտ գյուղի 9-րդ փողոցի, Ծաղկունք թաղամասի 3-րդ, 4-րդ (մասնակի) և 5-րդ(մասնակի) փողոցների լուսավորության համակարգի կառուցման աշխատանքների իրականացման համար </w:t>
            </w:r>
            <w:r w:rsidRPr="00081FFB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տեխնիկական հսկողության խորհրդատվական ծառայություններ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, 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>Консультационные услуги по техническому надзору за выполнением строительных работ по системе освещения 9-й улицы села Балаовит, 3-й, 4-й (частично) и 5-й (частично) улиц района Цахкунк,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A53A" w14:textId="7158E957" w:rsidR="000006E0" w:rsidRPr="00A63F0D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A95C2" w14:textId="7AFC9D92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01EB4" w14:textId="4835EAB1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6902A" w14:textId="660498C4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174 000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5A4F9" w14:textId="596589EB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174 000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6AD6DF43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50400261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7186302B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23AB878A" w14:textId="566C0108" w:rsidR="000006E0" w:rsidRDefault="000006E0" w:rsidP="00081F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8005" w14:textId="74DC04B7" w:rsidR="000006E0" w:rsidRPr="00650F82" w:rsidRDefault="000006E0" w:rsidP="00081FFB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081FFB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Գեղաշեն գյուղի 3-րդ փողոցի, 3-րդ թաղամասի 2-րդ և 3-րդ փողոցների, 2-րդ թաղամասի 1-ին փողոցի 2-րդ նրբանցքի և 2- րդ փողոցի 2-րդ նրբանցքի լուսավորության համակարգի կառուցման աշխատանքների իրականացման համար տեխնիկական հսկողության </w:t>
            </w:r>
            <w:r w:rsidRPr="00081FFB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խորհրդատվական ծառայություններ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, 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>Консультационные услуги по техническому надзору за выполнением строительных работ по системе освещения 3-й улицы села Гегашен, 2-й и 3-й улиц 3-го микрорайона, 2-го переулка 1-й улицы 2-го микрорайона и 2-го переулка 2-й улицы 2-го микрорайона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AECD9" w14:textId="24CDBB4A" w:rsidR="000006E0" w:rsidRPr="00A63F0D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210B" w14:textId="0396BE28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95F2B" w14:textId="4909C7D1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4A2A0" w14:textId="3A78334C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254 000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FC232" w14:textId="3054B949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254 000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5929CB7C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33702D4A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651065FE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12B76326" w14:textId="4125A407" w:rsidR="000006E0" w:rsidRDefault="000006E0" w:rsidP="00081F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36DF7" w14:textId="5F38BE9F" w:rsidR="000006E0" w:rsidRPr="00650F82" w:rsidRDefault="000006E0" w:rsidP="00081FFB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081FFB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Կաթնաղբյուր գյուղի 5-րդ փողոց 1-ին նրբանցքի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, Консультационные услуги по 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техническому надзору за выполнением строительных работ по системе освещения 1-го переулка, 5-й улицы, села Катнахпюр,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E694F" w14:textId="65E3349E" w:rsidR="000006E0" w:rsidRPr="00A63F0D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C79B" w14:textId="58667667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838DD" w14:textId="6DD9218F" w:rsidR="000006E0" w:rsidRPr="006935EE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A2891" w14:textId="561632CA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23 000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2F196" w14:textId="2CA74973" w:rsidR="000006E0" w:rsidRPr="00F52563" w:rsidRDefault="000006E0" w:rsidP="00081F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23 000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590AAFBA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0A04612B" w14:textId="77777777" w:rsidR="000006E0" w:rsidRPr="00E01D99" w:rsidRDefault="000006E0" w:rsidP="00081FFB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64B669BE" w14:textId="77777777" w:rsidTr="006E72E7">
        <w:trPr>
          <w:trHeight w:val="270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1B9A23B5" w14:textId="45037B76" w:rsidR="000006E0" w:rsidRDefault="000006E0" w:rsidP="003D3B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8A25C" w14:textId="4241D4F2" w:rsidR="000006E0" w:rsidRPr="006176F1" w:rsidRDefault="000006E0" w:rsidP="003D3B71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3D3B71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Մայակովսկի բնակավայրի 12-րդ փողոցի լուսավորության համակարգի կառուցման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, </w:t>
            </w:r>
            <w:r w:rsidRPr="006176F1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Консультационные услуги по техническому надзору за выполнением строительных работ по устройству системы освещения 12-й улицы, пос. Маяковского, </w:t>
            </w:r>
            <w:r w:rsidRPr="006176F1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96176" w14:textId="5F94D27C" w:rsidR="000006E0" w:rsidRPr="00A63F0D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D4FE" w14:textId="6B5BDAD3" w:rsidR="000006E0" w:rsidRPr="006935EE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E81E" w14:textId="3DE6D38D" w:rsidR="000006E0" w:rsidRPr="006935EE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CAA8E" w14:textId="748EFBC1" w:rsidR="000006E0" w:rsidRPr="00F52563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124 000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7D38A" w14:textId="2C5D1912" w:rsidR="000006E0" w:rsidRPr="00F52563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124 000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17DB39B0" w14:textId="77777777" w:rsidR="000006E0" w:rsidRPr="00E01D99" w:rsidRDefault="000006E0" w:rsidP="003D3B7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5040E5A2" w14:textId="77777777" w:rsidR="000006E0" w:rsidRPr="00E01D99" w:rsidRDefault="000006E0" w:rsidP="003D3B7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6D8F7FA6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1911D0B6" w14:textId="3520E875" w:rsidR="000006E0" w:rsidRDefault="000006E0" w:rsidP="003D3B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08EFD" w14:textId="2A1A45FA" w:rsidR="000006E0" w:rsidRPr="006176F1" w:rsidRDefault="000006E0" w:rsidP="003D3B71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3D3B71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Պտղնի գյուղի Նոր գերեզմանոցի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176F1">
              <w:rPr>
                <w:rFonts w:ascii="GHEA Grapalat" w:eastAsia="Calibri" w:hAnsi="GHEA Grapalat" w:cs="Sylfaen"/>
                <w:i/>
                <w:lang w:val="hy-AM" w:eastAsia="en-US"/>
              </w:rPr>
              <w:t>, Консультационные услуги по техническому надзору за строительством системы освещения Нового кладбища в селе Птгни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A5494" w14:textId="09CE9A9C" w:rsidR="000006E0" w:rsidRPr="00A63F0D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B9559" w14:textId="560E1B34" w:rsidR="000006E0" w:rsidRPr="006935EE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D3A3F" w14:textId="76366D22" w:rsidR="000006E0" w:rsidRPr="006935EE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03E3B" w14:textId="132EAF21" w:rsidR="000006E0" w:rsidRPr="00F52563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36 000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031E1" w14:textId="010136E5" w:rsidR="000006E0" w:rsidRPr="00F52563" w:rsidRDefault="000006E0" w:rsidP="003D3B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36 000</w:t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48465EEA" w14:textId="77777777" w:rsidR="000006E0" w:rsidRPr="00E01D99" w:rsidRDefault="000006E0" w:rsidP="003D3B7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shd w:val="clear" w:color="auto" w:fill="auto"/>
            <w:vAlign w:val="center"/>
          </w:tcPr>
          <w:p w14:paraId="4EB414D1" w14:textId="77777777" w:rsidR="000006E0" w:rsidRPr="00E01D99" w:rsidRDefault="000006E0" w:rsidP="003D3B7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0006E0" w:rsidRPr="004766DB" w14:paraId="469A0263" w14:textId="77777777" w:rsidTr="00C637DD">
        <w:trPr>
          <w:trHeight w:val="1256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275C8583" w14:textId="1D5A689C" w:rsidR="000006E0" w:rsidRDefault="000006E0" w:rsidP="00617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AACF6" w14:textId="0411BFC6" w:rsidR="000006E0" w:rsidRPr="006176F1" w:rsidRDefault="000006E0" w:rsidP="006176F1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Վերին Պտղնի գյուղի Նորավան թաղամասի 2-րդ փողոցի լուսավորության համակարգի կառուցման աշխատանքների իրականացման համար </w:t>
            </w:r>
            <w:r w:rsidRPr="00650F82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տեխնիկական հսկողության խորհրդատվական ծառայություններ</w:t>
            </w:r>
            <w:r w:rsidRPr="006176F1">
              <w:rPr>
                <w:rFonts w:ascii="GHEA Grapalat" w:eastAsia="Calibri" w:hAnsi="GHEA Grapalat" w:cs="Sylfaen"/>
                <w:i/>
                <w:lang w:val="hy-AM" w:eastAsia="en-US"/>
              </w:rPr>
              <w:t>, Консультационные услуги по техническому надзору за строительством системы освещения 2-й улицы района Нораван, села Верин Птгни, общины Абовян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1FF3" w14:textId="40ACB2E8" w:rsidR="000006E0" w:rsidRPr="00A63F0D" w:rsidRDefault="000006E0" w:rsidP="00617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88B2A" w14:textId="3C584CEB" w:rsidR="000006E0" w:rsidRPr="006935EE" w:rsidRDefault="000006E0" w:rsidP="00617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F9496" w14:textId="228B96A9" w:rsidR="000006E0" w:rsidRPr="006935EE" w:rsidRDefault="000006E0" w:rsidP="00617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41F86" w14:textId="0DB037B8" w:rsidR="000006E0" w:rsidRPr="00F52563" w:rsidRDefault="000006E0" w:rsidP="00617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97 000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A3A22" w14:textId="3C564D29" w:rsidR="000006E0" w:rsidRPr="00F52563" w:rsidRDefault="000006E0" w:rsidP="00617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97 000</w:t>
            </w: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51E1D" w14:textId="77777777" w:rsidR="000006E0" w:rsidRPr="00E01D99" w:rsidRDefault="000006E0" w:rsidP="006176F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130CD" w14:textId="77777777" w:rsidR="000006E0" w:rsidRPr="00E01D99" w:rsidRDefault="000006E0" w:rsidP="006176F1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BA2A8E" w:rsidRPr="001A6626" w14:paraId="35B42CB4" w14:textId="77777777" w:rsidTr="00C637D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13" w:type="dxa"/>
          <w:wAfter w:w="2835" w:type="dxa"/>
          <w:trHeight w:val="20"/>
          <w:jc w:val="center"/>
        </w:trPr>
        <w:tc>
          <w:tcPr>
            <w:tcW w:w="13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9072"/>
            </w:tblGrid>
            <w:tr w:rsidR="00BA2A8E" w:rsidRPr="001A6626" w14:paraId="5975D663" w14:textId="77777777" w:rsidTr="00FC396B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37CCD3CB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t>Նախատեսված շինարարական աշխատանքի տեսակը</w:t>
                  </w:r>
                </w:p>
              </w:tc>
              <w:tc>
                <w:tcPr>
                  <w:tcW w:w="9072" w:type="dxa"/>
                  <w:hideMark/>
                </w:tcPr>
                <w:p w14:paraId="47E5E458" w14:textId="77777777" w:rsidR="00BA2A8E" w:rsidRPr="001A6626" w:rsidRDefault="00BA2A8E" w:rsidP="00BA2A8E">
                  <w:pPr>
                    <w:tabs>
                      <w:tab w:val="left" w:pos="2830"/>
                    </w:tabs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Ըստ նախագծային փաստաթղթեր</w:t>
                  </w:r>
                  <w:r w:rsidRPr="001A6626"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ի</w:t>
                  </w:r>
                </w:p>
              </w:tc>
            </w:tr>
            <w:tr w:rsidR="00BA2A8E" w:rsidRPr="00BA2A8E" w14:paraId="2BFF78FF" w14:textId="77777777" w:rsidTr="00FC396B">
              <w:trPr>
                <w:trHeight w:val="20"/>
              </w:trPr>
              <w:tc>
                <w:tcPr>
                  <w:tcW w:w="2268" w:type="dxa"/>
                </w:tcPr>
                <w:p w14:paraId="18AE8CAD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t>Տեխնիկական հսկողության ծառայության մատուցման ձևեր, եղանակներ և ընդհանուր պահանջներ</w:t>
                  </w:r>
                </w:p>
                <w:p w14:paraId="7B579439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9DE4491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0EF9643E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108751C7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258FC10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1ACAB134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CFCE4FD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CE9BA97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DA81648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46BC9C8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1628E0CA" w14:textId="77777777" w:rsidR="00BA2A8E" w:rsidRPr="001A6626" w:rsidRDefault="00BA2A8E" w:rsidP="00BA2A8E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9072" w:type="dxa"/>
                </w:tcPr>
                <w:p w14:paraId="394464C6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Իրականացնել ամենօրյա տեխնիկական հսկողություն,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օբյեկտում, համաձայն ՀՀ «Քաղաքաշինության մասին» օրենքի պահանջների, </w:t>
                  </w:r>
                </w:p>
                <w:p w14:paraId="0FDACD09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57F88239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73A8A822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284721FB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4BEF56F3" w14:textId="77777777" w:rsidR="00BA2A8E" w:rsidRPr="001A6626" w:rsidRDefault="00BA2A8E" w:rsidP="00BA2A8E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37E78E08" w14:textId="77777777" w:rsidR="00BA2A8E" w:rsidRPr="001A6626" w:rsidRDefault="00BA2A8E" w:rsidP="00BA2A8E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hyperlink r:id="rId8" w:history="1">
                    <w:r w:rsidRPr="001A6626">
                      <w:rPr>
                        <w:rStyle w:val="aa"/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https://www.arlis.am/documentView.aspx?docID=19495</w:t>
                    </w:r>
                  </w:hyperlink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49409602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4DC7A10B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7E7A066C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2A555EDD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</w:r>
                </w:p>
                <w:p w14:paraId="2825010E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2EA6357A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1.1.5 Փորձարկում - լաբորատոր պայմաններում կամ տեղում փորձնական բեռնվածքների գործիքների և մեխանիզմների օգնությամբ կառուցվածքների կամ նրանց առանձին մասերի կրողունակության, ամրության, տարբեր տեսակի մեկուսացման, ինչպես նաև այլ ֆիզիկամեխանիկական և տեխնիկական հատկությունների ստուգումն է նախագծի պահանջների և կիրառելի նորմերի հետ համեմատելու նպատակով:</w:t>
                  </w:r>
                </w:p>
                <w:p w14:paraId="395E566C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7326438D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1DFA5BA8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289AF102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</w:r>
                </w:p>
                <w:p w14:paraId="5B1C9D50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73CBD9C1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</w:t>
                  </w: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պահանջել լրացուցիչ լաբորատոր փորձարկումների իրականացում:  </w:t>
                  </w:r>
                </w:p>
                <w:p w14:paraId="6E6DBD31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02FFF937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31086290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29B9EEE8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5D0EF46D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21C3D1A4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</w:r>
                </w:p>
                <w:p w14:paraId="704E4476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05A55270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325857FF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0234AC27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39BD17D4" w14:textId="77777777" w:rsidR="00BA2A8E" w:rsidRPr="001A6626" w:rsidRDefault="00BA2A8E" w:rsidP="00BA2A8E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2647FAAF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3268CDD0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79AC6DEA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 երթևեկության կազմակերպման սխեմաներ և դրանում կատարվող փոփոխությունները,</w:t>
                  </w:r>
                </w:p>
                <w:p w14:paraId="6701A38A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կատարել համապատասխան ուսումնասիրություններ և առաջարկել ճանապարհային անվտանգության բարելավումներ ու անհրաժեշտ միջոցառումներ: Իրականացնել այցեր ճանապարհային (տրանսպորտային) օբյեկտներ՝ գիշերային և ցերեկային ժամերին (այդ թվում՝ Պատվիրատուի և ճանապարհային ոստիկանության մասնակցությամբ): Ներկայացնել հաշվետվություն՝ կատարված ուսումնասիրությունների, ճանապարհային անվտանգության  մասով հայտնաբերված խնդիրների, յուրաքանչյուր խնդրի համար իրականացնել ռիսկերի գնահատում, և տալ առաջարկություններ: Ճանապարհային անվտանգության մասնագետները կհամակարգեն ու կվերահսկեն անվտանգության միջոցառումների ժամանակին իրականացումը, </w:t>
                  </w:r>
                </w:p>
                <w:p w14:paraId="44EBD6F3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26A1FEBF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2FB6B064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0E99BF5A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3B4E9D10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51EC3F96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6F502FFC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կատարված աշխատանքների, օգտագործված կոնստրուկցիաների որակը հավաստող հավաստագրերի, ինչպես նաև օգտագործված նյութերի լաբորատոր փորձարկումների արդյունքների և որակը հավաստող հավաստագրերի ստուգման և գնահատման միջոցով, </w:t>
                  </w:r>
                </w:p>
                <w:p w14:paraId="724DD639" w14:textId="77777777" w:rsidR="00BA2A8E" w:rsidRPr="001A6626" w:rsidRDefault="00BA2A8E" w:rsidP="00BA2A8E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հետագա աշխատանքների իրականացմանը օբյեկտի տեխնիկապես պատրաստ լինելու մասին միջանկյալ ընդունման ակտերի միջոցով:</w:t>
                  </w:r>
                </w:p>
                <w:p w14:paraId="2F203654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01D10478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և ինժեներական սարքավորումների միջանկյալ ընդունման ակտերի օրինակելի ցանկը համապատասխան ձևի նշումով տես` ՀՀ քաղաքաշինության նախարարի թիվ 44 առ 28.04.1998թ. Շինարարության որակի տեխնիկական հսկողության իրականացման հրահանգ հրամանի հավելված 3-ում:</w:t>
                  </w:r>
                </w:p>
                <w:p w14:paraId="4AA51BCD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 առանձին տեսակները ենթակա են մշտական օպերատիվ հսկողության, որը գրանցվում է շինմոնտաժային աշխատանքների ընդհանուր մատյանում:</w:t>
                  </w:r>
                </w:p>
                <w:p w14:paraId="3B2867C2" w14:textId="77777777" w:rsidR="00BA2A8E" w:rsidRPr="001A6626" w:rsidRDefault="00BA2A8E" w:rsidP="00BA2A8E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Շինմոնտաժային աշխատանքների առանձին տեսակների օրինակելի ցանկը, որոնք ենթակա են որակի հսկողության, բերվում է ՀՀ քաղաքաշինության նախարարի թիվ 44 առ 28.04.1998թ. Շինարարության որակի տեխնիկական հսկողության իրականացման հրահանգ հրամանի հավելված </w:t>
                  </w: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4-ում:</w:t>
                  </w:r>
                </w:p>
                <w:p w14:paraId="1821579E" w14:textId="77777777" w:rsidR="00BA2A8E" w:rsidRPr="001A6626" w:rsidRDefault="00BA2A8E" w:rsidP="00BA2A8E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522B0F94" w14:textId="77777777" w:rsidR="00BA2A8E" w:rsidRPr="001A6626" w:rsidRDefault="00BA2A8E" w:rsidP="00BA2A8E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 պայմանագրի գնի 0,5 տոկոսի չափով յուրաքանչյուր անհարգելի բացակայության դեպքում:</w:t>
                  </w:r>
                </w:p>
                <w:p w14:paraId="59019008" w14:textId="77777777" w:rsidR="00BA2A8E" w:rsidRPr="001A6626" w:rsidRDefault="00BA2A8E" w:rsidP="00BA2A8E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BA2A8E" w:rsidRPr="00BA2A8E" w14:paraId="26E4DA19" w14:textId="77777777" w:rsidTr="00FC396B">
              <w:trPr>
                <w:trHeight w:val="20"/>
              </w:trPr>
              <w:tc>
                <w:tcPr>
                  <w:tcW w:w="2268" w:type="dxa"/>
                  <w:hideMark/>
                </w:tcPr>
                <w:p w14:paraId="02D18C4F" w14:textId="77777777" w:rsidR="00BA2A8E" w:rsidRPr="001A6626" w:rsidRDefault="00BA2A8E" w:rsidP="00BA2A8E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lastRenderedPageBreak/>
                    <w:t xml:space="preserve">Նշանակված տեխնիկական հսկիչի տվյալների և հաշվետվությունների   ներկայացման պահանջներ </w:t>
                  </w:r>
                </w:p>
              </w:tc>
              <w:tc>
                <w:tcPr>
                  <w:tcW w:w="9072" w:type="dxa"/>
                </w:tcPr>
                <w:p w14:paraId="3C00529F" w14:textId="77777777" w:rsidR="00BA2A8E" w:rsidRPr="001A6626" w:rsidRDefault="00BA2A8E" w:rsidP="00BA2A8E">
                  <w:pPr>
                    <w:numPr>
                      <w:ilvl w:val="0"/>
                      <w:numId w:val="8"/>
                    </w:numPr>
                    <w:tabs>
                      <w:tab w:val="num" w:pos="317"/>
                      <w:tab w:val="num" w:pos="423"/>
                    </w:tabs>
                    <w:spacing w:before="0" w:after="0" w:line="240" w:lineRule="atLeast"/>
                    <w:ind w:left="333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Հաշվետվողականությունը. Տեխնիկական հսկողություն իրականացնողները պարտավոր են ներկայացնել Պատվիրատուին Ծառայությունների վերաբերյալ մոբիլիզացիայի, ամսական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  <w:p w14:paraId="736E5FC6" w14:textId="77777777" w:rsidR="00BA2A8E" w:rsidRPr="001A6626" w:rsidRDefault="00BA2A8E" w:rsidP="00BA2A8E">
                  <w:pPr>
                    <w:numPr>
                      <w:ilvl w:val="1"/>
                      <w:numId w:val="9"/>
                    </w:numPr>
                    <w:spacing w:before="0" w:after="0" w:line="240" w:lineRule="atLeast"/>
                    <w:ind w:left="378" w:right="-108" w:hanging="37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Հատուկ պահանջներ. Պատվիրատուի լրացուցիչ պահանջով Տեխ. հսկիչը պարտավոր է ներկայացնել նաև իրականացված ծառայությունները և կատարված աշխատանքները հավաստող ու հիմնավորող տեխնիկական փաստաթղթերի պատճենները (համառոտ նկարագրություն տվյալ ժամանակահատվածում իրականացված շինարարական աշխատանքների  և տեխնիկական հսկողության ծառայությունների վերաբերյալ, տեղեկանք (Ձև 2), լաբորատոր փորձարկումների արդյունքներ, նյութերի, կոնստրուկցիաների որակի համապատասխանության հավաստագրեր, ծածկված (միջանկյալ) աշխատանքների ընդունման ակտեր, ծածկված (միջանկյալ) աշխատանքների լուսանկարներ (տպագրված և էլեկտրոնային կրիչով), սխեմաներ, թույլտվություններ, և այլ անհրաժեշտ փաստաթղթեր:</w:t>
                  </w:r>
                </w:p>
                <w:p w14:paraId="6C5D20BE" w14:textId="77777777" w:rsidR="00BA2A8E" w:rsidRPr="001A6626" w:rsidRDefault="00BA2A8E" w:rsidP="00BA2A8E">
                  <w:pPr>
                    <w:numPr>
                      <w:ilvl w:val="1"/>
                      <w:numId w:val="9"/>
                    </w:numPr>
                    <w:spacing w:before="0" w:after="0" w:line="240" w:lineRule="atLeast"/>
                    <w:ind w:left="378" w:right="-108" w:hanging="37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Ավարտական հաշվետվությունը. Ավարտական հաշվետվությունը ներկայացվում է յուրաքանչյուր շինարարական օբյեկտի մասով՝ աշխատանքների հանձնում-ընդունումից հետո՝ 10 օրյա ժամկետում կամ մինչև ծառայությունների ավարտը՝ Պատվիրատուի համար ընդունելի ձևով: Հաշվետվության մեջ պետք է ամփոփվեն բոլոր ճանապարհների (տրանսպորտային օբյեկտների) վերաբերյալ հիմնական տեղեկատվությունը, կարևոր միջոցառումները, կապալառուների կատարողականը և արդյունքները, տեխնիկական և ոչ տեխնիկական ցուցանիշները, և այլն:</w:t>
                  </w:r>
                </w:p>
                <w:p w14:paraId="4BBE15EE" w14:textId="77777777" w:rsidR="00BA2A8E" w:rsidRPr="001A6626" w:rsidRDefault="00BA2A8E" w:rsidP="00BA2A8E">
                  <w:pPr>
                    <w:spacing w:line="240" w:lineRule="atLeast"/>
                    <w:jc w:val="both"/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</w:pPr>
                  <w:r w:rsidRPr="001A6626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Բացի վերը նշվածից, Խորհրդատուն կարող է ունենալ նաև այլ մասնագետներ և, անհրաժեշտության դեպքում, սպասարկող/ադմինիստրատիվ աշխատակազմ (Խորհրդատուից պահանջվում է այնպես կազմակերպել իր ռեսուրսները, որպեսզի առաջադրանքը կատարվի արդյունավետ կերպով).</w:t>
                  </w:r>
                </w:p>
                <w:p w14:paraId="565C1D82" w14:textId="77777777" w:rsidR="00BA2A8E" w:rsidRPr="001A6626" w:rsidRDefault="00BA2A8E" w:rsidP="00BA2A8E">
                  <w:pPr>
                    <w:spacing w:line="240" w:lineRule="atLeast"/>
                    <w:ind w:left="378" w:right="-10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BA2A8E" w:rsidRPr="00BA2A8E" w14:paraId="0B593F30" w14:textId="77777777" w:rsidTr="00FC396B">
              <w:trPr>
                <w:trHeight w:val="20"/>
              </w:trPr>
              <w:tc>
                <w:tcPr>
                  <w:tcW w:w="2268" w:type="dxa"/>
                </w:tcPr>
                <w:p w14:paraId="348FAAB4" w14:textId="77777777" w:rsidR="00BA2A8E" w:rsidRPr="001A6626" w:rsidRDefault="00BA2A8E" w:rsidP="00BA2A8E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9072" w:type="dxa"/>
                </w:tcPr>
                <w:p w14:paraId="06948905" w14:textId="77777777" w:rsidR="00BA2A8E" w:rsidRPr="001A6626" w:rsidRDefault="00BA2A8E" w:rsidP="00C637DD">
                  <w:pPr>
                    <w:spacing w:line="240" w:lineRule="atLeast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79D9DB04" w14:textId="77777777" w:rsidR="00BA2A8E" w:rsidRPr="001A6626" w:rsidRDefault="00BA2A8E" w:rsidP="00FC396B">
            <w:pPr>
              <w:spacing w:line="240" w:lineRule="atLeast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37DD" w:rsidRPr="006272A0" w14:paraId="0853B741" w14:textId="77777777" w:rsidTr="00C31C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3"/>
          <w:wBefore w:w="113" w:type="dxa"/>
          <w:wAfter w:w="2875" w:type="dxa"/>
          <w:trHeight w:val="1981"/>
          <w:jc w:val="center"/>
        </w:trPr>
        <w:tc>
          <w:tcPr>
            <w:tcW w:w="134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9072"/>
            </w:tblGrid>
            <w:tr w:rsidR="00C637DD" w:rsidRPr="006272A0" w14:paraId="407CC8DD" w14:textId="77777777" w:rsidTr="00FC396B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1E662948" w14:textId="77777777" w:rsidR="00C637DD" w:rsidRPr="000F540D" w:rsidRDefault="00C637DD" w:rsidP="00C637DD">
                  <w:pPr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0F540D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lastRenderedPageBreak/>
                    <w:br/>
                  </w:r>
                </w:p>
              </w:tc>
              <w:tc>
                <w:tcPr>
                  <w:tcW w:w="9072" w:type="dxa"/>
                  <w:hideMark/>
                </w:tcPr>
                <w:p w14:paraId="504A7AC2" w14:textId="77777777" w:rsidR="00C637DD" w:rsidRPr="000F540D" w:rsidRDefault="00C637DD" w:rsidP="00C637DD">
                  <w:pPr>
                    <w:pStyle w:val="HTML"/>
                    <w:shd w:val="clear" w:color="auto" w:fill="F8F9FA"/>
                    <w:spacing w:line="540" w:lineRule="atLeast"/>
                    <w:rPr>
                      <w:rFonts w:ascii="GHEA Grapalat" w:hAnsi="GHEA Grapalat" w:cs="Times New Roman"/>
                      <w:sz w:val="18"/>
                      <w:szCs w:val="18"/>
                      <w:lang w:val="hy-AM" w:bidi="ru-RU"/>
                    </w:rPr>
                  </w:pPr>
                  <w:r w:rsidRPr="000F540D">
                    <w:rPr>
                      <w:rFonts w:ascii="GHEA Grapalat" w:hAnsi="GHEA Grapalat" w:cs="Times New Roman"/>
                      <w:sz w:val="18"/>
                      <w:szCs w:val="18"/>
                      <w:lang w:val="hy-AM" w:bidi="ru-RU"/>
                    </w:rPr>
                    <w:t>Согласно проектной документации</w:t>
                  </w:r>
                </w:p>
                <w:p w14:paraId="545448E1" w14:textId="77777777" w:rsidR="00C637DD" w:rsidRPr="006272A0" w:rsidRDefault="00C637DD" w:rsidP="00C637DD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</w:tr>
            <w:tr w:rsidR="00C637DD" w:rsidRPr="00C637DD" w14:paraId="7E4F0B3E" w14:textId="77777777" w:rsidTr="00FC396B">
              <w:trPr>
                <w:trHeight w:val="20"/>
              </w:trPr>
              <w:tc>
                <w:tcPr>
                  <w:tcW w:w="2268" w:type="dxa"/>
                </w:tcPr>
                <w:p w14:paraId="0E329A0F" w14:textId="77777777" w:rsidR="00C637DD" w:rsidRPr="000F540D" w:rsidRDefault="00C637DD" w:rsidP="00C637DD">
                  <w:pPr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0F540D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br/>
                    <w:t>Вид планируемых строительных работ Формы, методы и общие требования к оказанию услуг по техническому контролю</w:t>
                  </w:r>
                </w:p>
              </w:tc>
              <w:tc>
                <w:tcPr>
                  <w:tcW w:w="9072" w:type="dxa"/>
                </w:tcPr>
                <w:p w14:paraId="464CE7C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Осуществлять ежедневный технический надзор, обеспечивая ежедневное и непрерывное присутствие на строительной площадке руководителя, назначенного поставщиком услуг технического надзора, в соответствии с требованиями Закона РА «О градостроительстве».</w:t>
                  </w:r>
                </w:p>
                <w:p w14:paraId="0F6464DC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Требования Положения «О лицензировании деятельности в сфере градостроительства», утвержденного Постановлением Правительства РА от 30 ноября 2023 года № N 2106-Н.</w:t>
                  </w:r>
                </w:p>
                <w:p w14:paraId="197DFBCE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Требования строительных норм, действующих в РА.</w:t>
                  </w:r>
                </w:p>
                <w:p w14:paraId="1131C3F0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 Требования Приказа Министра градостроительства от 28.04.1998 г. № 44 «Инструкция по осуществлению технического контроля качества строительства».</w:t>
                  </w:r>
                </w:p>
                <w:p w14:paraId="3D368735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5. Требования Постановления Правительства РА от 19 марта 2015 г. № N 596-Н.</w:t>
                  </w:r>
                </w:p>
                <w:p w14:paraId="6FEDDED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Следующие положения, содержащиеся в приказе Министра градостроительства Республики Армения от 28.04.1998 г. № 44 «Инструкция по осуществлению технического контроля качества строительства» (https://www.arlis.am/documentView.aspx?docID=19495):</w:t>
                  </w:r>
                </w:p>
                <w:p w14:paraId="138B7943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 Технический контроль осуществляется путем контрольных осмотров, вскрытий, контрольных измерений, проверки проектного объема работ и испытаний.</w:t>
                  </w:r>
                </w:p>
                <w:p w14:paraId="68B7C2FF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1.1.1 Технический надзор - определяет соответствие выполненных строительно-монтажных работ проектным решениям, строительным нормам и правилам. Технический надзор может осуществляться комплексно или выборочно.</w:t>
                  </w:r>
                </w:p>
                <w:p w14:paraId="6CC0B1A9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1.1.2 Вскрытие - обследование состояния строительных конструкций, коммуникаций и сооружений, закрытых грунтом или другими конструкциями, с использованием вертикальных шурфов или путем частичного сноса конструкций покрытия.</w:t>
                  </w:r>
                </w:p>
                <w:p w14:paraId="376C985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1.1.3 Контрольный обмер – проверка на месте фактически выполненных объемов строительно-монтажных работ и объемов работ, указанных в проектной документации.</w:t>
                  </w:r>
                </w:p>
                <w:p w14:paraId="5C1DAD8E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1.1.4 Проверка проектных объемов – проверка объемов работ, указанных в рабочих чертежах, сводках и сметах.</w:t>
                  </w:r>
                </w:p>
                <w:p w14:paraId="7997F9E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1.1.5 Испытания - проверка несущей способности, прочности, различных видов изоляции, а также других физико-механических и технических свойств конструкций или их отдельных частей в лабораторных условиях или на месте эксплуатации с помощью испытательных нагрузочных приборов и механизмов в сравнении с требованиями проекта и действующими нормами.</w:t>
                  </w:r>
                </w:p>
                <w:p w14:paraId="565ADA2C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1.2 Результаты проверок и наблюдений оформляются актами, протоколами, схемами, чертежами, фотографиями, видеозаписями и прилагаемыми к ним сравнительными обзорами, рабочими чертежами, журналами общего управления строительством.</w:t>
                  </w:r>
                </w:p>
                <w:p w14:paraId="7670C04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1.3 Указания и замечания по устранению выявленных дефектов по качеству строительно-монтажных работ, применяемым материалам, конструкциям, оборудованию, технологии производства работ и т.п. регистрируются в общем журнале управления строительно-монтажными работами установленной формы.</w:t>
                  </w:r>
                </w:p>
                <w:p w14:paraId="5E8DF62E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 Консультант обязан:</w:t>
                  </w:r>
                </w:p>
                <w:p w14:paraId="072A232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 контролировать ход строительных работ для обеспечения их соответствия детальному проекту, положениям контракта и действующим строительным нормам,</w:t>
                  </w:r>
                </w:p>
                <w:p w14:paraId="76931383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1.4.2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применяемых в строительстве, и в случае несоответствия их требованиям проекта и качества продукции запрещать их применение, оформляя это соответствующими актами;</w:t>
                  </w:r>
                </w:p>
                <w:p w14:paraId="036076F7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1.4.3 проверять результаты всех лабораторных испытаний, а также сертификаты качества применяемых материалов и конструкций, необходимые для обеспечения качества. При необходимости технический надзор может потребовать от подрядчика проведения дополнительных лабораторных испытаний.</w:t>
                  </w:r>
                </w:p>
                <w:p w14:paraId="26C0844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1.4.4 разъяснять подрядчику вопросы, связанные с проектной документацией и техническими требованиями.</w:t>
                  </w:r>
                </w:p>
                <w:p w14:paraId="429F4127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1.4.5 регулярно проверять качество и технологическую последовательность всех выполняемых строительно-монтажных работ, их соответствие проекту, строительным нормам и правилам, техническим условиям специальных работ;</w:t>
                  </w:r>
                </w:p>
                <w:p w14:paraId="72935932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1.4.6 Вести журнал в течение всего периода строительства, в котором будут ежедневно фиксироваться объемы работ, результаты осмотров и других работ, которые послужат основой для ежемесячных отчетов и будут содержать следующую информацию:</w:t>
                  </w:r>
                </w:p>
                <w:p w14:paraId="19D1BFD0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начало и конец рабочего дня,</w:t>
                  </w:r>
                </w:p>
                <w:p w14:paraId="1EB850BA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способность подрядчика выполнить работы (наличие необходимой техники и рабочей силы, технические условия, безопасные условия выполнения работ),</w:t>
                  </w:r>
                </w:p>
                <w:p w14:paraId="1FFDB1F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строительные материалы и оборудование, доставленные на строительную площадку в течение дня (наименование, количество, контроль качества и/или результаты лабораторных испытаний)</w:t>
                  </w:r>
                </w:p>
                <w:p w14:paraId="62A0DB4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работы, выполненные подрядчиком в течение дня: наименование, место проведения, объем и т.д.,</w:t>
                  </w:r>
                </w:p>
                <w:p w14:paraId="5009BD89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отступления от проектной документации и принятые меры,</w:t>
                  </w:r>
                </w:p>
                <w:p w14:paraId="20B92330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чрезвычайные ситуации, аварии и незапланированные перерывы в выполнении работ (указать причины)</w:t>
                  </w:r>
                </w:p>
                <w:p w14:paraId="7987A9EC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жалобы, полученные, отправленные и рассмотренные как сообществами, так и сотрудниками,</w:t>
                  </w:r>
                </w:p>
                <w:p w14:paraId="648EB97E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количество зарегистрированных и сообщенных несчастных случаев, включая смертельные случаи (согласно Механизму ответственности за экологические и социальные происшествия).</w:t>
                  </w:r>
                </w:p>
                <w:p w14:paraId="526F133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1.4.7 регистрировать в журнале управления строительством выявленные дефекты, а также предписания и </w:t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замечания по их устранению; 1.4.8 участвовать в проверках качества строительства, проводимых авторским надзором, государственным градостроительным надзором и другими уполномоченными органами, и контролировать своевременное устранение выявленных дефектов;</w:t>
                  </w:r>
                </w:p>
                <w:p w14:paraId="0A418CF6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1.4.9 рассматривать и утверждать схемы организации дорожного движения и вносимые в них изменения,</w:t>
                  </w:r>
                </w:p>
                <w:p w14:paraId="0FC97AA2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1.4.10 Проводить соответствующие исследования и предлагать меры по повышению безопасности дорожного движения и необходимые мероприятия. Осуществлять обходы объектов дорожного (транспортного) хозяйства в ночное и дневное время (в том числе с участием Заказчика и сотрудников ГИБДД).</w:t>
                  </w:r>
                </w:p>
                <w:p w14:paraId="3F725458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Представлять отчет о проведенных исследованиях, выявленных проблемах безопасности дорожного движения, проводить оценку рисков по каждой проблеме и давать рекомендации. Специалисты по безопасности дорожного движения будут координировать и контролировать своевременное выполнение мер безопасности.</w:t>
                  </w:r>
                </w:p>
                <w:p w14:paraId="201A965A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1.4.11 проверить все исполнительные документы, необходимые для осуществления соответствующих платежей,</w:t>
                  </w:r>
                </w:p>
                <w:p w14:paraId="3706C121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1.4.12 проверить и утвердить рабочие чертежи, подготовленные подрядчиком. </w:t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br/>
                    <w:t>1.4.13 утвердить акты выполненных работ, если работы выполнены с надлежащим качеством и в надлежащем объеме.</w:t>
                  </w:r>
                </w:p>
                <w:p w14:paraId="192BDEF1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1.4.14 В случае обнаружения невыполненных работ и дефектов составить их опись, установить сроки их устранения и передать Заказчику техническую документацию.</w:t>
                  </w:r>
                </w:p>
                <w:p w14:paraId="43146FC2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 Приемка выполненных видов и объемов работ осуществляется:</w:t>
                  </w:r>
                </w:p>
                <w:p w14:paraId="021045C3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1.5.1 путем оформления актов сдачи-приемки выполненных работ,</w:t>
                  </w:r>
                </w:p>
                <w:p w14:paraId="45510CFA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1.5.2 путем проверки и оценки сертификатов, удостоверяющих качество выполненных работ, примененных конструкций, а также результатов лабораторных испытаний примененных материалов и сертификатов, удостоверяющих качество, 1.5.3 путем промежуточных актов приемки о технической готовности объекта к выполнению дальнейших работ.</w:t>
                  </w:r>
                </w:p>
                <w:p w14:paraId="516BA312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1.6 Перечень основных строительно-монтажных работ, на которые необходимо составлять акты сдачи-приемки выполненных работ, приведен в Приложении 1 к Приказу Министра градостроительства Республики Армения от 28.04.1998 г. № 44 «Инструкция по осуществлению технического контроля качества строительства».</w:t>
                  </w:r>
                </w:p>
                <w:p w14:paraId="295BC8A0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Форма акта сдачи-приемки выполненных работ приведена в Приложении 2 к Приказу Министра градостроительства Республики Армения от 28.04.1998 г. № 44 «Инструкция по осуществлению технического контроля качества строительства».</w:t>
                  </w:r>
                </w:p>
                <w:p w14:paraId="412C68DC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Однако, со ссылкой на Приложение 1 и Приложение 2, указанные в настоящем пункте, Заказчик в течение 5 (пяти) дней с момента принятия обязательств по оказанию консультационных услуг по договору также предоставит Исполнителю формы актов сдачи-приемки выполненных работ, необходимых для выполнения основных работ по строительству дороги:</w:t>
                  </w:r>
                </w:p>
                <w:p w14:paraId="5FBF8561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516CC2B0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Организация приёмки выполненных работ возлагается на исполнителя работ. К приёмке работ привлекаются технический надзор застройщика, генерального подрядчика, субподрядчиков (в части их участия) и других заинтересованных лиц. Количество экземпляров актов определяется числом лиц, подписавших акт.</w:t>
                  </w:r>
                </w:p>
                <w:p w14:paraId="5475BBB8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1.7 Примерный перечень актов промежуточной приемки строительных работ и инженерного оборудования с указанием соответствующей формы см. в Приложении 3 к Приказу Министра градостроительства Республики Армения № 44 от 28.04.1998 г. «Инструкция по осуществлению технического контроля качества строительства».</w:t>
                  </w:r>
                </w:p>
                <w:p w14:paraId="43AF5D42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Отдельные виды строительно-монтажных работ подлежат постоянному производственному контролю, который фиксируется в общем журнале учета строительно-монтажных работ.</w:t>
                  </w:r>
                </w:p>
                <w:p w14:paraId="39997788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Примерный перечень отдельных видов строительно-монтажных работ, подлежащих контролю качества, приведен в Приложении 4 к Приказу Министра градостроительства Республики Армения от 28.04.1998 г. № 44 «Инструкция по осуществлению технического контроля качества строительства».</w:t>
                  </w:r>
                </w:p>
                <w:p w14:paraId="4F8B6BFB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1.8 По результатам производственного контроля за выполнением скрытых и промежуточных работ технический надзор проводит оценку качества выполненных работ и фиксирует ее в соответствующих журналах и актах. Оценка качества строительно-монтажных работ оформляется актом.</w:t>
                  </w:r>
                </w:p>
                <w:p w14:paraId="30F33C52" w14:textId="6F86A488" w:rsidR="00C637DD" w:rsidRPr="00342D52" w:rsidRDefault="00C637DD" w:rsidP="00342D52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Style w:val="y2iqfc"/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 В случае несанкционированного отсутствия на строительной площадке лица, ответственного за выполнение работ, Консультант несет ответственность в размере 0,5 процента от цены договора за каждое несанкционированное отсутствие, установленное в договоре.</w:t>
                  </w:r>
                </w:p>
                <w:p w14:paraId="7E5DD70C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b/>
                      <w:i/>
                      <w:sz w:val="24"/>
                      <w:szCs w:val="24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b/>
                      <w:i/>
                      <w:sz w:val="24"/>
                      <w:szCs w:val="24"/>
                      <w:lang w:val="hy-AM" w:bidi="ru-RU"/>
                    </w:rPr>
                    <w:t>Требования к представлению данных и отчетов назначенным техническим контролером</w:t>
                  </w:r>
                </w:p>
                <w:p w14:paraId="710FEF94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1D4344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</w:t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Отчетность: Лица, осуществляющие технический надзор, обязаны предоставлять Заказчику мобилизационные, ежемесячные и итоговые отчеты по Услугам, являющиеся документами, обосновывающими акты сдачи-приемки Услуг.</w:t>
                  </w:r>
                </w:p>
                <w:p w14:paraId="0B66E34D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4.1. Особые требования: По дополнительному запросу Заказчика Технический надзор также обязан предоставлять копии технических документов, удостоверяющих и обосновывающих оказанные услуги и выполненные работы (краткое описание выполненных за отчетный период строительных работ и услуг по техническому надзору, справку (Форма 2),</w:t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 </w:t>
                  </w: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Результаты лабораторных испытаний, сертификаты качества материалов и конструкций, акты выполненных (промежуточных) работ, фотографии выполненных (промежуточных) работ (печатные и электронные), схемы, разрешения и другие необходимые документы.</w:t>
                  </w:r>
                </w:p>
                <w:p w14:paraId="052AAF0F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4.2. Заключительный отчет: Заключительный отчет предоставляется по каждому строительному объекту в течение 10 дней после сдачи работ или до завершения оказания услуг в форме, приемлемой для Заказчика.</w:t>
                  </w:r>
                </w:p>
                <w:p w14:paraId="518A7AC3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отчете необходимо обобщить основную информацию обо всех дорогах (транспортных объектах), важных событиях, деятельности и результатах подрядчика, технических и нетехнических показателях и т. д.</w:t>
                  </w:r>
                </w:p>
                <w:p w14:paraId="48945A0A" w14:textId="77777777" w:rsidR="00C637DD" w:rsidRPr="003E7277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3E727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Помимо вышеперечисленного, Консультант может также иметь других специалистов и, при необходимости, вспомогательный/административный персонал (Консультант обязан организовать свои ресурсы таким образом, чтобы задача выполнялась эффективно).</w:t>
                  </w:r>
                </w:p>
              </w:tc>
            </w:tr>
            <w:tr w:rsidR="00C637DD" w:rsidRPr="00C637DD" w14:paraId="2587EC3A" w14:textId="77777777" w:rsidTr="00FC396B">
              <w:trPr>
                <w:trHeight w:val="20"/>
              </w:trPr>
              <w:tc>
                <w:tcPr>
                  <w:tcW w:w="2268" w:type="dxa"/>
                  <w:hideMark/>
                </w:tcPr>
                <w:p w14:paraId="396F5305" w14:textId="77777777" w:rsidR="00C637DD" w:rsidRPr="006272A0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9072" w:type="dxa"/>
                </w:tcPr>
                <w:p w14:paraId="7ED0A647" w14:textId="77777777" w:rsidR="00C637DD" w:rsidRPr="002F0C62" w:rsidRDefault="00C637DD" w:rsidP="00C637DD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</w:tc>
            </w:tr>
          </w:tbl>
          <w:p w14:paraId="6A7E3F6A" w14:textId="77777777" w:rsidR="00C637DD" w:rsidRPr="006272A0" w:rsidRDefault="00C637DD" w:rsidP="00FC396B">
            <w:pPr>
              <w:spacing w:line="240" w:lineRule="atLeast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03374" w:rsidRPr="004766DB" w14:paraId="4B8BC031" w14:textId="77777777" w:rsidTr="00C637DD">
        <w:trPr>
          <w:trHeight w:val="60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451180E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03374" w:rsidRPr="004766DB" w14:paraId="24C3B0CB" w14:textId="77777777" w:rsidTr="00C637DD">
        <w:trPr>
          <w:trHeight w:val="137"/>
        </w:trPr>
        <w:tc>
          <w:tcPr>
            <w:tcW w:w="4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12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616ABA" w:rsidR="00603374" w:rsidRPr="00A63F0D" w:rsidRDefault="007D5189" w:rsidP="00560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</w:t>
            </w:r>
            <w:r w:rsid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560EC8"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срочный открытый конкурс</w:t>
            </w:r>
            <w:r w:rsidR="00560EC8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татьи Закона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03374" w:rsidRPr="004766DB" w14:paraId="075EEA57" w14:textId="77777777" w:rsidTr="00C637DD">
        <w:trPr>
          <w:trHeight w:val="196"/>
        </w:trPr>
        <w:tc>
          <w:tcPr>
            <w:tcW w:w="1641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1596E8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779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044187" w:rsidR="00603374" w:rsidRPr="00A63F0D" w:rsidRDefault="009F0D85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7D518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7D518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03374" w:rsidRPr="00A63F0D" w14:paraId="199F948A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EE9B008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13FE412E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4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03374" w:rsidRPr="00A63F0D" w14:paraId="321D26CF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E691E2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30B89418" w14:textId="77777777" w:rsidTr="00C637DD">
        <w:trPr>
          <w:trHeight w:val="54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70776DB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4766DB" w14:paraId="10DC4861" w14:textId="77777777" w:rsidTr="00C637DD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928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1340" w:type="dxa"/>
            <w:gridSpan w:val="14"/>
            <w:shd w:val="clear" w:color="auto" w:fill="auto"/>
            <w:vAlign w:val="center"/>
          </w:tcPr>
          <w:p w14:paraId="1FD38684" w14:textId="5256F074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603374" w:rsidRPr="00A63F0D" w14:paraId="3FD00E3A" w14:textId="77777777" w:rsidTr="00C637DD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928" w:type="dxa"/>
            <w:gridSpan w:val="8"/>
            <w:vMerge/>
            <w:shd w:val="clear" w:color="auto" w:fill="auto"/>
            <w:vAlign w:val="center"/>
          </w:tcPr>
          <w:p w14:paraId="7835142E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27542D69" w14:textId="6C5361D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5EE2FE" w14:textId="55DE3F50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371FE9" w14:textId="4A2FCCC8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C31C05" w:rsidRPr="00E01D99" w14:paraId="4DA511EC" w14:textId="77777777" w:rsidTr="00C637DD">
        <w:trPr>
          <w:trHeight w:val="8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6ABF72D4" w14:textId="57EC7ADA" w:rsidR="00C31C05" w:rsidRPr="00A32A8A" w:rsidRDefault="00C31C05" w:rsidP="00D0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 xml:space="preserve">Չափաբաժին 1. </w:t>
            </w:r>
            <w:r w:rsidRPr="00ED08E3">
              <w:rPr>
                <w:rFonts w:ascii="GHEA Grapalat" w:hAnsi="GHEA Grapalat" w:cs="Sylfaen"/>
                <w:i/>
                <w:lang w:val="hy-AM"/>
              </w:rPr>
              <w:t>Աբովյան համայնքի Առինջ գյուղի Ա թաղամաս 4-րդ, 5-րդ և 6-րդ փողոցներիի, Բ թաղամաս 3-րդ, 4- րդ, 5-րդ և 7-րդ փողոցների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50F82">
              <w:rPr>
                <w:rFonts w:ascii="GHEA Grapalat" w:hAnsi="GHEA Grapalat" w:cs="Sylfaen"/>
                <w:i/>
                <w:lang w:val="hy-AM"/>
              </w:rPr>
              <w:t>, Технический надзор и консультационные услуги по выполнению строительных работ по системе освещения 4-й, 5-й и 6-й улиц села Ариндж, района А, и 3-й, 4-й, 5-й и 7-й улиц района Б, общины Абовян</w:t>
            </w:r>
          </w:p>
        </w:tc>
      </w:tr>
      <w:tr w:rsidR="00C31C05" w:rsidRPr="00A63F0D" w14:paraId="6D81F0AE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6DC1B71A" w:rsidR="00C31C05" w:rsidRPr="00C87D23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99ED42A" w14:textId="42D24E1D" w:rsidR="00C31C05" w:rsidRPr="00DF557F" w:rsidRDefault="00C31C05" w:rsidP="00C31C0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 w:rsidR="002F0A6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2F0A67"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4D3E28F2" w14:textId="04864EC4" w:rsidR="00C31C05" w:rsidRDefault="00C31C05" w:rsidP="00C31C0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330 000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B5B603" w14:textId="1E1958EA" w:rsidR="00C31C05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66 000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1472B9" w14:textId="12501425" w:rsidR="00C31C05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396 000</w:t>
            </w:r>
          </w:p>
        </w:tc>
      </w:tr>
      <w:tr w:rsidR="00C31C05" w:rsidRPr="00A63F0D" w14:paraId="50825522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C4A32F" w:rsidR="00C31C05" w:rsidRPr="00C87D23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59F3C98" w14:textId="2943389D" w:rsidR="00C31C05" w:rsidRPr="00DF557F" w:rsidRDefault="00C31C05" w:rsidP="00C31C0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«Կայուն Զարգացման Ներդրումային Հիմնադրամ»</w:t>
            </w:r>
            <w:r w:rsidR="002F0A6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2F0A67"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«Инвестиционный фонд устойчивого развития»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1D867224" w14:textId="48BCA3D5" w:rsidR="00C31C05" w:rsidRPr="00A63F0D" w:rsidRDefault="00C31C05" w:rsidP="00C31C0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337 500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2B8A853" w14:textId="1B04594C" w:rsidR="00C31C05" w:rsidRPr="00A63F0D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67 500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59BBB2" w14:textId="5B368432" w:rsidR="00C31C05" w:rsidRPr="00A63F0D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405 000</w:t>
            </w:r>
          </w:p>
        </w:tc>
      </w:tr>
      <w:tr w:rsidR="00C31C05" w:rsidRPr="00A63F0D" w14:paraId="7B344569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5AA8077E" w14:textId="73E23FB5" w:rsidR="00C31C05" w:rsidRDefault="00C31C05" w:rsidP="00C31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Չափաբաժին 2. Աբովյան համայնքի Արամուս գյուղի Երիտասարդական թաղամասի 1-ին փողոցի և Անկախության թաղամասի 7- րդ փողոցի լուսավորության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выполнением строительных работ по установке системы освещения на 1-й улице Еритасардакан квартала села Арамус 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lastRenderedPageBreak/>
              <w:t>общины Абовян и 7-й улице квартала Анкахутюн</w:t>
            </w:r>
          </w:p>
        </w:tc>
      </w:tr>
      <w:tr w:rsidR="002F0A67" w:rsidRPr="00A63F0D" w14:paraId="75F1296F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8DFABC7" w14:textId="55E9EC54" w:rsidR="002F0A67" w:rsidRPr="00C87D23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37CDDD6A" w14:textId="7200D63E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6FB4098A" w14:textId="1BE68D6C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86 000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DEF1C2" w14:textId="76CC29A5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17 200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BED9EC8" w14:textId="11668EBD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103 200</w:t>
            </w:r>
          </w:p>
        </w:tc>
      </w:tr>
      <w:tr w:rsidR="002F0A67" w:rsidRPr="00A63F0D" w14:paraId="19953ABE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07F672" w14:textId="0A1C2863" w:rsidR="002F0A67" w:rsidRPr="00C87D23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18650B4" w14:textId="0AC7060D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«Կայուն Զարգացման Ներդրումային Հիմնադրամ»,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«Инвестиционный фонд устойчивого развития»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38D2C256" w14:textId="62443BDE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115 000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87638E2" w14:textId="6EB9A2EA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70EF33" w14:textId="62ABE118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138 000</w:t>
            </w:r>
          </w:p>
        </w:tc>
      </w:tr>
      <w:tr w:rsidR="00C22590" w:rsidRPr="00A63F0D" w14:paraId="2E1A4351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34049022" w14:textId="2054D59C" w:rsidR="00C22590" w:rsidRPr="00D00EDB" w:rsidRDefault="00C22590" w:rsidP="00C225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>Չափաբաժին 3. Աբովյան համայնքի Բալահովիտ գյուղի 9-րդ փողոցի, Ծաղկունք թաղամասի 3-րդ, 4-րդ (մասնակի) և 5-րդ(մասնակի) փողոցների լուսավորության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выполнением строительных работ по системе освещения 9-й улицы села Балаовит, 3-й, 4-й (частично) и 5-й (частично) улиц района Цахкунк, общины Абовян</w:t>
            </w:r>
          </w:p>
        </w:tc>
      </w:tr>
      <w:tr w:rsidR="002F0A67" w:rsidRPr="00A63F0D" w14:paraId="3969D465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82BBD05" w14:textId="32802231" w:rsidR="002F0A67" w:rsidRPr="00C87D23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40FF60C7" w14:textId="60DA6B46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203084CB" w14:textId="0E170885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06312B4" w14:textId="24AE9E53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D12448" w14:textId="59FC9EFB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120 000</w:t>
            </w:r>
          </w:p>
        </w:tc>
      </w:tr>
      <w:tr w:rsidR="002F0A67" w:rsidRPr="00A63F0D" w14:paraId="0BC91D8A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A86D383" w14:textId="4B6BF24D" w:rsidR="002F0A67" w:rsidRPr="00C87D23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716D0B80" w14:textId="0F59D44E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«Կայուն Զարգացման Ներդրումային Հիմնադրամ»,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«Инвестиционный фонд устойчивого развития»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7F5F0F34" w14:textId="0B49FD89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120 000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D738B2" w14:textId="3090364E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24 000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A6F9C6" w14:textId="27801765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144 000</w:t>
            </w:r>
          </w:p>
        </w:tc>
      </w:tr>
      <w:tr w:rsidR="004470DD" w:rsidRPr="00A63F0D" w14:paraId="761F8D3C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582A9EEB" w14:textId="5C0288A8" w:rsidR="004470DD" w:rsidRDefault="004470DD" w:rsidP="004470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>Չափաբաժին 4. Աբովյան համայնքի Գեղաշեն գյուղի 3-րդ փողոցի, 3-րդ թաղամասի 2-րդ և 3-րդ փողոցների, 2-րդ թաղամասի 1-ին փողոցի 2-րդ նրբանցքի և 2- րդ փողոցի 2-րդ նրբանցքի լուսավորության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выполнением строительных работ по системе освещения 3-й улицы села Гегашен, 2-й и 3-й улиц 3-го микрорайона, 2-го переулка 1-й улицы 2-го микрорайона и 2-го переулка 2-й улицы 2-го микрорайона общины Абовян</w:t>
            </w:r>
          </w:p>
        </w:tc>
      </w:tr>
      <w:tr w:rsidR="002F0A67" w:rsidRPr="00A63F0D" w14:paraId="73F62F93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ACD22DE" w14:textId="5CA56492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5ABF9303" w14:textId="36CF5C14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0277B761" w14:textId="131A7F49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140 000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C2BD2F" w14:textId="7A91C26C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28 000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E08FB6" w14:textId="44DC9E33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168 000</w:t>
            </w:r>
          </w:p>
        </w:tc>
      </w:tr>
      <w:tr w:rsidR="002F0A67" w:rsidRPr="00A63F0D" w14:paraId="31A72A7E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480B252" w14:textId="5EADD2D5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4845C490" w14:textId="0B120D86" w:rsidR="002F0A67" w:rsidRDefault="002F0A67" w:rsidP="002F0A6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«Կայուն Զարգացման Ներդրումային Հիմնադրամ»,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«Инвестиционный фонд устойчивого развития»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37929ACF" w14:textId="79BB7643" w:rsidR="002F0A67" w:rsidRDefault="002F0A67" w:rsidP="002F0A6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173 000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49D084" w14:textId="27B4D1FE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34 600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0D11F36" w14:textId="5EE8B53E" w:rsidR="002F0A67" w:rsidRDefault="002F0A67" w:rsidP="002F0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207 600</w:t>
            </w:r>
          </w:p>
        </w:tc>
      </w:tr>
      <w:tr w:rsidR="00FD0931" w:rsidRPr="00A63F0D" w14:paraId="297C178F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05B26FEA" w14:textId="2B04FD48" w:rsidR="00FD0931" w:rsidRPr="00D00EDB" w:rsidRDefault="00FD0931" w:rsidP="004470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>Չափաբաժին 5. Աբովյան համայնքի Կաթնաղբյուր գյուղի 5-րդ փողոց 1-ին նրբանցքի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50F82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t>Консультационные услуги по техническому надзору за выполнением строительных работ по системе освещения 1-го переулка, 5-й улицы, села Катнахпюр, общины Абовян</w:t>
            </w:r>
          </w:p>
        </w:tc>
      </w:tr>
      <w:tr w:rsidR="00FD0931" w:rsidRPr="00A63F0D" w14:paraId="6E951C10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A7E3E51" w14:textId="75528A79" w:rsidR="00FD0931" w:rsidRPr="00C87D23" w:rsidRDefault="00FD0931" w:rsidP="00FD09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5829A3B5" w14:textId="7A973D0A" w:rsidR="00FD0931" w:rsidRDefault="00FD0931" w:rsidP="00FD093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507A4160" w14:textId="170D96DB" w:rsidR="00FD0931" w:rsidRPr="00C31C05" w:rsidRDefault="00FD0931" w:rsidP="00FD093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2AEBEB" w14:textId="7F610A86" w:rsidR="00FD0931" w:rsidRPr="00C31C05" w:rsidRDefault="00FD0931" w:rsidP="00FD09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2A993B9" w14:textId="57C15CE0" w:rsidR="00FD0931" w:rsidRPr="00C31C05" w:rsidRDefault="00FD0931" w:rsidP="00FD09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52563">
              <w:rPr>
                <w:rFonts w:ascii="GHEA Grapalat" w:hAnsi="GHEA Grapalat"/>
                <w:i/>
              </w:rPr>
              <w:t>23 000</w:t>
            </w:r>
          </w:p>
        </w:tc>
      </w:tr>
      <w:tr w:rsidR="006E72E7" w:rsidRPr="00A63F0D" w14:paraId="5484903F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5FFEFEDF" w14:textId="57EB7CAD" w:rsidR="006E72E7" w:rsidRPr="00F52563" w:rsidRDefault="006E72E7" w:rsidP="006E72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Չափաբաժին 6. Աբովյան համայնքի Մայակովսկի բնակավայրի 12-րդ փողոցի լուսավորության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выполнением строительных 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lastRenderedPageBreak/>
              <w:t>работ по устройству системы освещения 12-й улицы, пос.</w:t>
            </w:r>
            <w:r w:rsidRPr="006176F1">
              <w:rPr>
                <w:rFonts w:ascii="GHEA Grapalat" w:hAnsi="GHEA Grapalat" w:cs="Sylfaen"/>
                <w:i/>
                <w:szCs w:val="20"/>
                <w:lang w:val="hy-AM"/>
              </w:rPr>
              <w:t xml:space="preserve"> Маяковского, общины Абовян</w:t>
            </w:r>
          </w:p>
        </w:tc>
      </w:tr>
      <w:tr w:rsidR="00AB5F09" w:rsidRPr="00A63F0D" w14:paraId="40E635C8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D723C22" w14:textId="64E940DE" w:rsidR="00AB5F09" w:rsidRDefault="00AB5F09" w:rsidP="00AB5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42799F8C" w14:textId="283CAE2F" w:rsidR="00AB5F09" w:rsidRPr="006E72E7" w:rsidRDefault="002F0A67" w:rsidP="00AB5F0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4EEA845E" w14:textId="0771DCA4" w:rsidR="00AB5F09" w:rsidRDefault="00AB5F09" w:rsidP="00AB5F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75 000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E4E111" w14:textId="362A29FD" w:rsidR="00AB5F09" w:rsidRDefault="00AB5F09" w:rsidP="00AB5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9B17A1" w14:textId="0A99A169" w:rsidR="00AB5F09" w:rsidRPr="00F52563" w:rsidRDefault="00AB5F09" w:rsidP="00AB5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90 000</w:t>
            </w:r>
          </w:p>
        </w:tc>
      </w:tr>
      <w:tr w:rsidR="00FC396B" w:rsidRPr="00A63F0D" w14:paraId="741E89E8" w14:textId="77777777" w:rsidTr="00FC396B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474D1B56" w14:textId="7412C1C4" w:rsidR="00FC396B" w:rsidRDefault="00D00EDB" w:rsidP="00AB5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Չափաբաժին 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t>7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 w:rsidRPr="003D3B71">
              <w:rPr>
                <w:rFonts w:ascii="GHEA Grapalat" w:hAnsi="GHEA Grapalat" w:cs="Sylfaen"/>
                <w:i/>
                <w:lang w:val="hy-AM"/>
              </w:rPr>
              <w:t>Աբովյան համայնքի Պտղնի գյուղի Նոր գերեզմանոցի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176F1">
              <w:rPr>
                <w:rFonts w:ascii="GHEA Grapalat" w:hAnsi="GHEA Grapalat" w:cs="Sylfaen"/>
                <w:i/>
                <w:lang w:val="hy-AM"/>
              </w:rPr>
              <w:t>, Консультационные услуги по техническому надзору за строительством системы освещения Нового кладбища в селе Птгни общины Абовян</w:t>
            </w:r>
          </w:p>
        </w:tc>
      </w:tr>
      <w:tr w:rsidR="00D00EDB" w:rsidRPr="00A63F0D" w14:paraId="278E3068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BE85865" w14:textId="775A0B74" w:rsidR="00D00EDB" w:rsidRDefault="00D00EDB" w:rsidP="00D0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B93FE33" w14:textId="54764804" w:rsidR="00D00EDB" w:rsidRDefault="00D00EDB" w:rsidP="00D00ED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>-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678BA665" w14:textId="58B5AA6D" w:rsidR="00D00EDB" w:rsidRDefault="00D00EDB" w:rsidP="00D00ED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7B4F8C" w14:textId="4C5803CB" w:rsidR="00D00EDB" w:rsidRDefault="00D00EDB" w:rsidP="00D0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CA7AC69" w14:textId="679667AC" w:rsidR="00D00EDB" w:rsidRDefault="00D00EDB" w:rsidP="00D0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</w:tr>
      <w:tr w:rsidR="00AE2C77" w:rsidRPr="00A63F0D" w14:paraId="1B50B323" w14:textId="77777777" w:rsidTr="00A07712">
        <w:trPr>
          <w:trHeight w:val="493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50850D01" w14:textId="55BDCA1F" w:rsidR="00AE2C77" w:rsidRPr="00C31C05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Չափաբաժին </w:t>
            </w:r>
            <w:r>
              <w:rPr>
                <w:rFonts w:ascii="GHEA Grapalat" w:hAnsi="GHEA Grapalat" w:cs="Sylfaen"/>
                <w:i/>
                <w:lang w:val="hy-AM"/>
              </w:rPr>
              <w:t>8</w:t>
            </w:r>
            <w:r w:rsidRPr="00D00EDB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 w:rsidRPr="00650F82">
              <w:rPr>
                <w:rFonts w:ascii="GHEA Grapalat" w:hAnsi="GHEA Grapalat" w:cs="Sylfaen"/>
                <w:i/>
                <w:lang w:val="hy-AM"/>
              </w:rPr>
              <w:t>Աբովյան համայնքի Վերին Պտղնի գյուղի Նորավան թաղամասի 2-րդ փողոցի լուսավորության համակարգի կառուցման աշխատանքների իրականացման համար տեխնիկական հսկողության խորհրդատվական ծառայություններ</w:t>
            </w:r>
            <w:r w:rsidRPr="006176F1">
              <w:rPr>
                <w:rFonts w:ascii="GHEA Grapalat" w:hAnsi="GHEA Grapalat" w:cs="Sylfaen"/>
                <w:i/>
                <w:lang w:val="hy-AM"/>
              </w:rPr>
              <w:t>, Консультационные услуги по техническому надзору за строительством системы освещения 2-й улицы района Нораван, села Верин Птгни, общины Абовян</w:t>
            </w:r>
          </w:p>
        </w:tc>
      </w:tr>
      <w:tr w:rsidR="006617A3" w:rsidRPr="00A63F0D" w14:paraId="21780D3C" w14:textId="77777777" w:rsidTr="00C637DD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07C687E" w14:textId="5A470013" w:rsidR="006617A3" w:rsidRPr="00C87D23" w:rsidRDefault="006617A3" w:rsidP="006617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7FC17C31" w14:textId="18BE92D1" w:rsidR="006617A3" w:rsidRDefault="002F0A67" w:rsidP="006617A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«ВОЛЬТ АМПЕР»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3CC65C83" w14:textId="14215101" w:rsidR="006617A3" w:rsidRPr="00C31C05" w:rsidRDefault="006617A3" w:rsidP="006617A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60 000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D7D90B" w14:textId="5D2D5406" w:rsidR="006617A3" w:rsidRPr="00C31C05" w:rsidRDefault="006617A3" w:rsidP="006617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AE5177" w14:textId="2EFD6104" w:rsidR="006617A3" w:rsidRPr="00C31C05" w:rsidRDefault="006617A3" w:rsidP="006617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72 000</w:t>
            </w:r>
          </w:p>
        </w:tc>
      </w:tr>
      <w:tr w:rsidR="00AE2C77" w:rsidRPr="00BE3085" w14:paraId="700CD07F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10ED060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4766DB" w14:paraId="521126E1" w14:textId="77777777" w:rsidTr="00C637DD">
        <w:trPr>
          <w:trHeight w:val="527"/>
        </w:trPr>
        <w:tc>
          <w:tcPr>
            <w:tcW w:w="16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AE2C77" w:rsidRPr="004766DB" w14:paraId="552679BF" w14:textId="77777777" w:rsidTr="00C637DD"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14:paraId="770D59CE" w14:textId="0F23DFAA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131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AE2C77" w:rsidRPr="00A63F0D" w14:paraId="3CA6FABC" w14:textId="77777777" w:rsidTr="00C637DD">
        <w:tc>
          <w:tcPr>
            <w:tcW w:w="12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AE2C77" w:rsidRPr="00A63F0D" w:rsidRDefault="00AE2C77" w:rsidP="00AE2C7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AE2C77" w:rsidRPr="00A63F0D" w:rsidRDefault="00AE2C77" w:rsidP="00AE2C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AE2C77" w:rsidRPr="00A63F0D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AE2C77" w:rsidRPr="00A63F0D" w:rsidRDefault="00AE2C77" w:rsidP="00AE2C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AE2C77" w:rsidRPr="00A63F0D" w14:paraId="0477C95F" w14:textId="77777777" w:rsidTr="00C637DD">
        <w:trPr>
          <w:trHeight w:val="40"/>
        </w:trPr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AE2C77" w:rsidRPr="00791A5E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AE2C77" w:rsidRPr="00BA7FBC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A63F0D" w14:paraId="32A87089" w14:textId="77777777" w:rsidTr="00C637DD">
        <w:trPr>
          <w:trHeight w:val="40"/>
        </w:trPr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AE2C77" w:rsidRPr="00277A9B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AE2C77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A63F0D" w14:paraId="144ECF66" w14:textId="77777777" w:rsidTr="00C637DD">
        <w:trPr>
          <w:trHeight w:val="40"/>
        </w:trPr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AE2C77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4766DB" w14:paraId="522ACAFB" w14:textId="77777777" w:rsidTr="00C637DD">
        <w:trPr>
          <w:trHeight w:val="331"/>
        </w:trPr>
        <w:tc>
          <w:tcPr>
            <w:tcW w:w="3227" w:type="dxa"/>
            <w:gridSpan w:val="6"/>
            <w:shd w:val="clear" w:color="auto" w:fill="auto"/>
            <w:vAlign w:val="center"/>
          </w:tcPr>
          <w:p w14:paraId="514F7E40" w14:textId="0E40A8E6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13183" w:type="dxa"/>
            <w:gridSpan w:val="18"/>
            <w:shd w:val="clear" w:color="auto" w:fill="auto"/>
            <w:vAlign w:val="center"/>
          </w:tcPr>
          <w:p w14:paraId="71AB42B3" w14:textId="28D4F59D" w:rsidR="00AE2C77" w:rsidRPr="00FB132C" w:rsidRDefault="00AE2C77" w:rsidP="00AE2C7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AE2C77" w:rsidRPr="004766DB" w14:paraId="617248CD" w14:textId="77777777" w:rsidTr="00C637DD">
        <w:trPr>
          <w:trHeight w:val="289"/>
        </w:trPr>
        <w:tc>
          <w:tcPr>
            <w:tcW w:w="1641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A63F0D" w14:paraId="1515C769" w14:textId="77777777" w:rsidTr="00C637DD">
        <w:trPr>
          <w:trHeight w:val="346"/>
        </w:trPr>
        <w:tc>
          <w:tcPr>
            <w:tcW w:w="4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11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A8CCA4" w:rsidR="00AE2C77" w:rsidRPr="00A63F0D" w:rsidRDefault="00BA61B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14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11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AE2C77" w:rsidRPr="004766DB" w14:paraId="71BEA872" w14:textId="77777777" w:rsidTr="00C637DD">
        <w:trPr>
          <w:trHeight w:val="688"/>
        </w:trPr>
        <w:tc>
          <w:tcPr>
            <w:tcW w:w="4707" w:type="dxa"/>
            <w:gridSpan w:val="9"/>
            <w:vMerge w:val="restart"/>
            <w:shd w:val="clear" w:color="auto" w:fill="auto"/>
            <w:vAlign w:val="center"/>
          </w:tcPr>
          <w:p w14:paraId="7F8FD238" w14:textId="32D54A6A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AE2C77" w:rsidRPr="00A63F0D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9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AE2C77" w:rsidRPr="00A63F0D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AE2C77" w:rsidRPr="004616A6" w14:paraId="04C80107" w14:textId="77777777" w:rsidTr="00C637DD">
        <w:trPr>
          <w:trHeight w:val="463"/>
        </w:trPr>
        <w:tc>
          <w:tcPr>
            <w:tcW w:w="470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69AEA2" w:rsidR="00AE2C77" w:rsidRPr="007A1F1E" w:rsidRDefault="0055385B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15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11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  <w:tc>
          <w:tcPr>
            <w:tcW w:w="9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F6D515C" w:rsidR="00AE2C77" w:rsidRPr="007A1F1E" w:rsidRDefault="0055385B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24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</w:tr>
      <w:tr w:rsidR="00AE2C77" w:rsidRPr="004616A6" w14:paraId="12C073C6" w14:textId="77777777" w:rsidTr="00C637DD">
        <w:trPr>
          <w:trHeight w:val="92"/>
        </w:trPr>
        <w:tc>
          <w:tcPr>
            <w:tcW w:w="470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AE2C77" w:rsidRPr="00C36AEC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AE2C77" w:rsidRPr="004766DB" w14:paraId="2254FA5C" w14:textId="77777777" w:rsidTr="00C637DD">
        <w:trPr>
          <w:trHeight w:val="344"/>
        </w:trPr>
        <w:tc>
          <w:tcPr>
            <w:tcW w:w="1641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A38B836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55385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28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535B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55385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AE2C77" w:rsidRPr="00BC18AF" w14:paraId="3C75DA26" w14:textId="77777777" w:rsidTr="00C637DD">
        <w:trPr>
          <w:trHeight w:val="344"/>
        </w:trPr>
        <w:tc>
          <w:tcPr>
            <w:tcW w:w="4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11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8BE3E9" w:rsidR="00AE2C77" w:rsidRPr="00A63F0D" w:rsidRDefault="005C6F4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01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AE2C7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AE2C7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AE2C77" w:rsidRPr="00A63F0D" w14:paraId="0682C6BE" w14:textId="77777777" w:rsidTr="00C637DD">
        <w:trPr>
          <w:trHeight w:val="344"/>
        </w:trPr>
        <w:tc>
          <w:tcPr>
            <w:tcW w:w="4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11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2268A6" w:rsidR="00AE2C77" w:rsidRPr="00A63F0D" w:rsidRDefault="005C6F4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AE2C7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AE2C7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AE2C77" w:rsidRPr="00A63F0D" w14:paraId="79A64497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620F225D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A63F0D" w14:paraId="4E4EA255" w14:textId="77777777" w:rsidTr="00C637DD"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14:paraId="7AA249E4" w14:textId="4FE32465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13183" w:type="dxa"/>
            <w:gridSpan w:val="18"/>
            <w:shd w:val="clear" w:color="auto" w:fill="auto"/>
            <w:vAlign w:val="center"/>
          </w:tcPr>
          <w:p w14:paraId="0A5086C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E2C77" w:rsidRPr="00A63F0D" w14:paraId="11F19FA1" w14:textId="77777777" w:rsidTr="00C637DD">
        <w:trPr>
          <w:trHeight w:val="237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14:paraId="39B67943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2856C5C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70E64E" w14:textId="72E3CB0E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8A33AC2" w14:textId="793959C6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</w:t>
            </w:r>
            <w:bookmarkStart w:id="0" w:name="_GoBack"/>
            <w:bookmarkEnd w:id="0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911FBB2" w14:textId="72CB726D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AE2C77" w:rsidRPr="00A63F0D" w14:paraId="4DC53241" w14:textId="77777777" w:rsidTr="00C637DD">
        <w:trPr>
          <w:trHeight w:val="238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14:paraId="7D858D4B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078A8417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FA13F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FDD9C22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73BBD2A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78CB50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3C0959C2" w14:textId="2825D3D3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AE2C77" w:rsidRPr="00A63F0D" w14:paraId="75FDA7D8" w14:textId="77777777" w:rsidTr="00294A43">
        <w:trPr>
          <w:trHeight w:val="263"/>
        </w:trPr>
        <w:tc>
          <w:tcPr>
            <w:tcW w:w="12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AE2C77" w:rsidRPr="00526611" w14:paraId="1E28D31D" w14:textId="77777777" w:rsidTr="00294A43">
        <w:trPr>
          <w:trHeight w:val="2443"/>
        </w:trPr>
        <w:tc>
          <w:tcPr>
            <w:tcW w:w="1242" w:type="dxa"/>
            <w:gridSpan w:val="3"/>
            <w:shd w:val="clear" w:color="auto" w:fill="auto"/>
            <w:vAlign w:val="center"/>
          </w:tcPr>
          <w:p w14:paraId="1F1D10DE" w14:textId="43C65E74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91CD0D1" w14:textId="7635C9DC" w:rsidR="00AE2C77" w:rsidRPr="00DF557F" w:rsidRDefault="005C6F41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ООО «ВОЛЬТ АМПЕР»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183B64C" w14:textId="77AF0422" w:rsidR="00AE2C77" w:rsidRPr="00C87D23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ԱԲՀ-ՀԲՄԽԾՁԲ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-25/1</w:t>
            </w:r>
            <w:r w:rsidR="005C6F41">
              <w:rPr>
                <w:rFonts w:ascii="GHEA Grapalat" w:hAnsi="GHEA Grapalat"/>
                <w:i/>
                <w:sz w:val="20"/>
                <w:szCs w:val="20"/>
                <w:lang w:val="hy-AM"/>
              </w:rPr>
              <w:t>33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, ABH-HBMKhTsDzB-25/1</w:t>
            </w:r>
            <w:r w:rsidR="005C6F41">
              <w:rPr>
                <w:rFonts w:ascii="GHEA Grapalat" w:hAnsi="GHEA Grapalat"/>
                <w:i/>
                <w:sz w:val="20"/>
                <w:szCs w:val="20"/>
                <w:lang w:val="hy-AM"/>
              </w:rPr>
              <w:t>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F54951" w14:textId="56FFAAFF" w:rsidR="00AE2C77" w:rsidRPr="00C87D23" w:rsidRDefault="005C6F41" w:rsidP="00AE2C7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02</w:t>
            </w:r>
            <w:r w:rsidR="00AE2C7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</w:t>
            </w:r>
            <w:r w:rsidR="00AE2C7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.2025</w:t>
            </w:r>
            <w:r w:rsidR="00AE2C7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թ.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10A7BBF" w14:textId="022C0381" w:rsidR="00AE2C77" w:rsidRPr="00D572A5" w:rsidRDefault="00AE2C77" w:rsidP="00AE2C77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572A5">
              <w:rPr>
                <w:rFonts w:ascii="GHEA Grapalat" w:hAnsi="GHEA Grapalat"/>
                <w:i/>
                <w:sz w:val="20"/>
                <w:szCs w:val="20"/>
              </w:rPr>
              <w:t>Պայմանագրի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/</w:t>
            </w:r>
            <w:r w:rsidRPr="00C94C9F">
              <w:rPr>
                <w:rFonts w:ascii="GHEA Grapalat" w:hAnsi="GHEA Grapalat"/>
                <w:i/>
                <w:sz w:val="20"/>
                <w:szCs w:val="20"/>
              </w:rPr>
              <w:t>շինարարական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94C9F">
              <w:rPr>
                <w:rFonts w:ascii="GHEA Grapalat" w:hAnsi="GHEA Grapalat"/>
                <w:i/>
                <w:sz w:val="20"/>
                <w:szCs w:val="20"/>
              </w:rPr>
              <w:t>աշխատանքների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94C9F">
              <w:rPr>
                <w:rFonts w:ascii="GHEA Grapalat" w:hAnsi="GHEA Grapalat"/>
                <w:i/>
                <w:sz w:val="20"/>
                <w:szCs w:val="20"/>
              </w:rPr>
              <w:t>պայմանագրի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/ </w:t>
            </w:r>
            <w:r w:rsidRPr="00D572A5">
              <w:rPr>
                <w:rFonts w:ascii="GHEA Grapalat" w:hAnsi="GHEA Grapalat"/>
                <w:i/>
                <w:sz w:val="20"/>
                <w:szCs w:val="20"/>
              </w:rPr>
              <w:t>կնքման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D572A5">
              <w:rPr>
                <w:rFonts w:ascii="GHEA Grapalat" w:hAnsi="GHEA Grapalat"/>
                <w:i/>
                <w:sz w:val="20"/>
                <w:szCs w:val="20"/>
              </w:rPr>
              <w:t>օրվանից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D572A5">
              <w:rPr>
                <w:rFonts w:ascii="GHEA Grapalat" w:hAnsi="GHEA Grapalat"/>
                <w:i/>
                <w:sz w:val="20"/>
              </w:rPr>
              <w:t>շին</w:t>
            </w:r>
            <w:r w:rsidRPr="00D572A5">
              <w:rPr>
                <w:rFonts w:ascii="GHEA Grapalat" w:hAnsi="GHEA Grapalat"/>
                <w:i/>
                <w:sz w:val="20"/>
                <w:lang w:val="af-ZA"/>
              </w:rPr>
              <w:t xml:space="preserve">. </w:t>
            </w:r>
            <w:r w:rsidRPr="00D572A5">
              <w:rPr>
                <w:rFonts w:ascii="GHEA Grapalat" w:hAnsi="GHEA Grapalat"/>
                <w:i/>
                <w:sz w:val="20"/>
              </w:rPr>
              <w:t>աշխատանքների</w:t>
            </w:r>
            <w:r w:rsidRPr="00D572A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572A5">
              <w:rPr>
                <w:rFonts w:ascii="GHEA Grapalat" w:hAnsi="GHEA Grapalat"/>
                <w:i/>
                <w:sz w:val="20"/>
              </w:rPr>
              <w:t>ավարտ</w:t>
            </w:r>
            <w:r w:rsidRPr="00D572A5">
              <w:rPr>
                <w:rFonts w:ascii="GHEA Grapalat" w:hAnsi="GHEA Grapalat"/>
                <w:i/>
                <w:lang w:val="af-ZA"/>
              </w:rPr>
              <w:t xml:space="preserve">, 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>С даты подписания договора /договора строительного подряда/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D572A5">
              <w:rPr>
                <w:rFonts w:ascii="GHEA Grapalat" w:hAnsi="GHEA Grapalat"/>
                <w:i/>
                <w:sz w:val="20"/>
                <w:szCs w:val="20"/>
                <w:lang w:val="af-ZA"/>
              </w:rPr>
              <w:t>завершения строительных работ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A3A27A0" w14:textId="77777777" w:rsidR="00AE2C77" w:rsidRPr="00787220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40F0BC7" w14:textId="4F77131C" w:rsidR="00AE2C77" w:rsidRPr="00787220" w:rsidRDefault="00907C79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907C79">
              <w:rPr>
                <w:rFonts w:ascii="GHEA Grapalat" w:hAnsi="GHEA Grapalat"/>
                <w:i/>
              </w:rPr>
              <w:t>949 200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758CA204" w:rsidR="00AE2C77" w:rsidRPr="00787220" w:rsidRDefault="00907C79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907C79">
              <w:rPr>
                <w:rFonts w:ascii="GHEA Grapalat" w:hAnsi="GHEA Grapalat"/>
                <w:i/>
              </w:rPr>
              <w:t>949 200</w:t>
            </w:r>
          </w:p>
        </w:tc>
      </w:tr>
      <w:tr w:rsidR="00AE2C77" w:rsidRPr="004766DB" w14:paraId="41E4ED39" w14:textId="77777777" w:rsidTr="00C637DD">
        <w:trPr>
          <w:trHeight w:val="150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7265AE84" w14:textId="1431E00E" w:rsidR="00AE2C77" w:rsidRPr="004766DB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AE2C77" w:rsidRPr="004766DB" w14:paraId="1F657639" w14:textId="77777777" w:rsidTr="00C637DD">
        <w:trPr>
          <w:trHeight w:val="1308"/>
        </w:trPr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AE2C77" w:rsidRPr="00D572A5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AE2C77" w:rsidRPr="00D572A5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D6ACA" w:rsidRPr="00D572A5" w14:paraId="20BC55B9" w14:textId="77777777" w:rsidTr="00C637DD">
        <w:trPr>
          <w:trHeight w:val="1829"/>
        </w:trPr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A47D28" w:rsidR="001D6ACA" w:rsidRPr="00074FF0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11F50F" w:rsidR="001D6ACA" w:rsidRPr="00DF557F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«ՎՈԼՏ ԱՄՊԵՐ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ООО «ВОЛЬТ АМПЕР»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D003DFA" w:rsidR="001D6ACA" w:rsidRPr="00DF557F" w:rsidRDefault="001D6ACA" w:rsidP="001D6ACA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ք. Երևան, </w:t>
            </w:r>
            <w:r w:rsidRPr="008F1C3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Լյուքսեմբուրգի 2-րդ նրբանցք 5-22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,</w:t>
            </w:r>
            <w:r w:rsidRPr="008F1C3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033-220-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380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Ереван, 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E90B4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2-й переулок Люксембурга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E5FAFE" w:rsidR="001D6ACA" w:rsidRPr="00787220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E90B45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info@voltamper.am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1D66CF" w:rsidR="001D6ACA" w:rsidRPr="00584764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</w:t>
            </w:r>
            <w:r w:rsidR="0058476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20463334148000</w:t>
            </w: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CCC175" w:rsidR="001D6ACA" w:rsidRPr="00584764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</w:t>
            </w:r>
            <w:r w:rsidR="0058476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0933437</w:t>
            </w:r>
          </w:p>
        </w:tc>
      </w:tr>
      <w:tr w:rsidR="001D6ACA" w:rsidRPr="00D572A5" w14:paraId="496A046D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393BE26B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D6ACA" w:rsidRPr="004766DB" w14:paraId="3863A00B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D6ACA" w:rsidRPr="00A63F0D" w:rsidRDefault="001D6ACA" w:rsidP="001D6AC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139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D6ACA" w:rsidRPr="00A63F0D" w:rsidRDefault="001D6ACA" w:rsidP="001D6AC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D6ACA" w:rsidRPr="004766DB" w14:paraId="485BF528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60FF974B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D6ACA" w:rsidRPr="004766DB" w14:paraId="7DB42300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0AD8E25E" w14:textId="0F77BF35" w:rsidR="001D6ACA" w:rsidRPr="00A63F0D" w:rsidRDefault="001D6ACA" w:rsidP="001D6A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D6ACA" w:rsidRPr="00A63F0D" w:rsidRDefault="001D6ACA" w:rsidP="001D6A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D6ACA" w:rsidRPr="00A63F0D" w:rsidRDefault="001D6ACA" w:rsidP="001D6A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D6ACA" w:rsidRPr="00A63F0D" w:rsidRDefault="001D6ACA" w:rsidP="001D6A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D6ACA" w:rsidRPr="00A63F0D" w:rsidRDefault="001D6ACA" w:rsidP="001D6AC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D6ACA" w:rsidRPr="00A63F0D" w:rsidRDefault="001D6ACA" w:rsidP="001D6AC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D6ACA" w:rsidRPr="00A63F0D" w:rsidRDefault="001D6ACA" w:rsidP="001D6AC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D6ACA" w:rsidRPr="00A63F0D" w:rsidRDefault="001D6ACA" w:rsidP="001D6A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D6ACA" w:rsidRPr="00A63F0D" w:rsidRDefault="001D6ACA" w:rsidP="001D6AC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1D6ACA" w:rsidRPr="00A63F0D" w:rsidRDefault="001D6ACA" w:rsidP="001D6ACA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D6ACA" w:rsidRPr="004766DB" w14:paraId="3CC8B38C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02AFA8BF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D6ACA" w:rsidRPr="004766DB" w14:paraId="5484FA73" w14:textId="77777777" w:rsidTr="00C637DD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39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5A7FED5D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0C88E286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40B30E88" w14:textId="77777777" w:rsidTr="00C637DD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13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541BD7F7" w14:textId="77777777" w:rsidTr="00C637DD">
        <w:trPr>
          <w:trHeight w:val="288"/>
        </w:trPr>
        <w:tc>
          <w:tcPr>
            <w:tcW w:w="1641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4DE14D25" w14:textId="77777777" w:rsidTr="00C637DD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13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1DAD5D5C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57597369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D6ACA" w:rsidRPr="004766DB" w14:paraId="5F667D89" w14:textId="77777777" w:rsidTr="00C637DD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13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D6ACA" w:rsidRPr="004766DB" w14:paraId="406B68D6" w14:textId="77777777" w:rsidTr="00C637DD">
        <w:trPr>
          <w:trHeight w:val="288"/>
        </w:trPr>
        <w:tc>
          <w:tcPr>
            <w:tcW w:w="16410" w:type="dxa"/>
            <w:gridSpan w:val="24"/>
            <w:shd w:val="clear" w:color="auto" w:fill="99CCFF"/>
            <w:vAlign w:val="center"/>
          </w:tcPr>
          <w:p w14:paraId="79EAD146" w14:textId="77777777" w:rsidR="001D6ACA" w:rsidRPr="00A63F0D" w:rsidRDefault="001D6ACA" w:rsidP="001D6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D6ACA" w:rsidRPr="004766DB" w14:paraId="1A2BD291" w14:textId="77777777" w:rsidTr="00C637DD">
        <w:trPr>
          <w:trHeight w:val="227"/>
        </w:trPr>
        <w:tc>
          <w:tcPr>
            <w:tcW w:w="16410" w:type="dxa"/>
            <w:gridSpan w:val="24"/>
            <w:shd w:val="clear" w:color="auto" w:fill="auto"/>
            <w:vAlign w:val="center"/>
          </w:tcPr>
          <w:p w14:paraId="73A19DB3" w14:textId="6C7A151C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D6ACA" w:rsidRPr="004766DB" w14:paraId="002AF1AD" w14:textId="77777777" w:rsidTr="00C637DD">
        <w:trPr>
          <w:trHeight w:val="303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58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7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1D6ACA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1D6ACA" w:rsidRPr="00A63F0D" w:rsidRDefault="001D6ACA" w:rsidP="001D6AC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1D6ACA" w:rsidRPr="00A63F0D" w14:paraId="6C6C269C" w14:textId="77777777" w:rsidTr="00C637DD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5854" w:type="dxa"/>
            <w:gridSpan w:val="10"/>
            <w:shd w:val="clear" w:color="auto" w:fill="auto"/>
            <w:vAlign w:val="center"/>
          </w:tcPr>
          <w:p w14:paraId="570A2BE5" w14:textId="23E9DF07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7797" w:type="dxa"/>
            <w:gridSpan w:val="9"/>
            <w:shd w:val="clear" w:color="auto" w:fill="auto"/>
            <w:vAlign w:val="center"/>
          </w:tcPr>
          <w:p w14:paraId="3C42DEDA" w14:textId="1EC6F118" w:rsidR="001D6ACA" w:rsidRPr="00A63F0D" w:rsidRDefault="001D6ACA" w:rsidP="001D6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A32A8A">
      <w:pgSz w:w="16840" w:h="11907" w:orient="landscape" w:code="9"/>
      <w:pgMar w:top="1140" w:right="1134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3E77C" w14:textId="77777777" w:rsidR="00090C4C" w:rsidRDefault="00090C4C" w:rsidP="0022631D">
      <w:pPr>
        <w:spacing w:before="0" w:after="0"/>
      </w:pPr>
      <w:r>
        <w:separator/>
      </w:r>
    </w:p>
  </w:endnote>
  <w:endnote w:type="continuationSeparator" w:id="0">
    <w:p w14:paraId="219BAFBD" w14:textId="77777777" w:rsidR="00090C4C" w:rsidRDefault="00090C4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9CD4" w14:textId="77777777" w:rsidR="00090C4C" w:rsidRDefault="00090C4C" w:rsidP="0022631D">
      <w:pPr>
        <w:spacing w:before="0" w:after="0"/>
      </w:pPr>
      <w:r>
        <w:separator/>
      </w:r>
    </w:p>
  </w:footnote>
  <w:footnote w:type="continuationSeparator" w:id="0">
    <w:p w14:paraId="01D843D4" w14:textId="77777777" w:rsidR="00090C4C" w:rsidRDefault="00090C4C" w:rsidP="0022631D">
      <w:pPr>
        <w:spacing w:before="0" w:after="0"/>
      </w:pPr>
      <w:r>
        <w:continuationSeparator/>
      </w:r>
    </w:p>
  </w:footnote>
  <w:footnote w:id="1">
    <w:p w14:paraId="73E33F31" w14:textId="77777777" w:rsidR="00FC396B" w:rsidRPr="00541A77" w:rsidRDefault="00FC396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C396B" w:rsidRPr="002D0BF6" w:rsidRDefault="00FC39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E2C77" w:rsidRPr="00871366" w:rsidRDefault="00AE2C7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E2C77" w:rsidRPr="002D0BF6" w:rsidRDefault="00AE2C7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D6ACA" w:rsidRPr="0078682E" w:rsidRDefault="001D6AC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D6ACA" w:rsidRPr="0078682E" w:rsidRDefault="001D6AC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D6ACA" w:rsidRPr="00005B9C" w:rsidRDefault="001D6AC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0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6E0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27DA"/>
    <w:rsid w:val="00044EA8"/>
    <w:rsid w:val="00046CCF"/>
    <w:rsid w:val="000511E2"/>
    <w:rsid w:val="00051ECE"/>
    <w:rsid w:val="0005498C"/>
    <w:rsid w:val="00057051"/>
    <w:rsid w:val="00060545"/>
    <w:rsid w:val="0006599D"/>
    <w:rsid w:val="0007090E"/>
    <w:rsid w:val="00073D66"/>
    <w:rsid w:val="00074FF0"/>
    <w:rsid w:val="00076026"/>
    <w:rsid w:val="00077F3B"/>
    <w:rsid w:val="00081FFB"/>
    <w:rsid w:val="0008534A"/>
    <w:rsid w:val="00086DC7"/>
    <w:rsid w:val="00086DFD"/>
    <w:rsid w:val="00087A9F"/>
    <w:rsid w:val="00090C4C"/>
    <w:rsid w:val="00091367"/>
    <w:rsid w:val="00091D06"/>
    <w:rsid w:val="00093C0A"/>
    <w:rsid w:val="000A2E2B"/>
    <w:rsid w:val="000B0199"/>
    <w:rsid w:val="000B2FCC"/>
    <w:rsid w:val="000B4A8A"/>
    <w:rsid w:val="000C33CF"/>
    <w:rsid w:val="000E183F"/>
    <w:rsid w:val="000E4FF1"/>
    <w:rsid w:val="000E6906"/>
    <w:rsid w:val="000E6E68"/>
    <w:rsid w:val="000F121C"/>
    <w:rsid w:val="000F3020"/>
    <w:rsid w:val="000F376D"/>
    <w:rsid w:val="000F405C"/>
    <w:rsid w:val="000F4373"/>
    <w:rsid w:val="000F4408"/>
    <w:rsid w:val="000F4F19"/>
    <w:rsid w:val="000F65B6"/>
    <w:rsid w:val="000F7769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36D87"/>
    <w:rsid w:val="00144217"/>
    <w:rsid w:val="001477E2"/>
    <w:rsid w:val="00150D1B"/>
    <w:rsid w:val="001518A6"/>
    <w:rsid w:val="0015387A"/>
    <w:rsid w:val="00166937"/>
    <w:rsid w:val="00166BB7"/>
    <w:rsid w:val="00171572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C1BE1"/>
    <w:rsid w:val="001C2D63"/>
    <w:rsid w:val="001D0F7C"/>
    <w:rsid w:val="001D2E8F"/>
    <w:rsid w:val="001D5E22"/>
    <w:rsid w:val="001D6ACA"/>
    <w:rsid w:val="001E0091"/>
    <w:rsid w:val="001E39CB"/>
    <w:rsid w:val="001E3AE4"/>
    <w:rsid w:val="001E3B3B"/>
    <w:rsid w:val="001E6163"/>
    <w:rsid w:val="001F1A3C"/>
    <w:rsid w:val="00200E5D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86361"/>
    <w:rsid w:val="0029226F"/>
    <w:rsid w:val="00292931"/>
    <w:rsid w:val="00294A43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E4E6F"/>
    <w:rsid w:val="002F0A67"/>
    <w:rsid w:val="002F16CC"/>
    <w:rsid w:val="002F1FEB"/>
    <w:rsid w:val="002F69B1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2D52"/>
    <w:rsid w:val="00343FA7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77C5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3B71"/>
    <w:rsid w:val="003D6F45"/>
    <w:rsid w:val="003D7B43"/>
    <w:rsid w:val="003E00D5"/>
    <w:rsid w:val="003E1A31"/>
    <w:rsid w:val="003E34DD"/>
    <w:rsid w:val="003E3D40"/>
    <w:rsid w:val="003E6978"/>
    <w:rsid w:val="003E6BD7"/>
    <w:rsid w:val="003F0706"/>
    <w:rsid w:val="003F621A"/>
    <w:rsid w:val="00402CBF"/>
    <w:rsid w:val="00405041"/>
    <w:rsid w:val="0040770F"/>
    <w:rsid w:val="00416F06"/>
    <w:rsid w:val="004178DA"/>
    <w:rsid w:val="0043154F"/>
    <w:rsid w:val="004316E4"/>
    <w:rsid w:val="00432494"/>
    <w:rsid w:val="004337E2"/>
    <w:rsid w:val="00433E3C"/>
    <w:rsid w:val="004405BE"/>
    <w:rsid w:val="004405D4"/>
    <w:rsid w:val="0044104C"/>
    <w:rsid w:val="004445C2"/>
    <w:rsid w:val="00444790"/>
    <w:rsid w:val="004470DD"/>
    <w:rsid w:val="00460FE5"/>
    <w:rsid w:val="004616A6"/>
    <w:rsid w:val="00462E5C"/>
    <w:rsid w:val="004676AE"/>
    <w:rsid w:val="00467E54"/>
    <w:rsid w:val="00472069"/>
    <w:rsid w:val="00474C2F"/>
    <w:rsid w:val="00475E89"/>
    <w:rsid w:val="00476187"/>
    <w:rsid w:val="004764CD"/>
    <w:rsid w:val="004766DB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596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7CCE"/>
    <w:rsid w:val="00522BFD"/>
    <w:rsid w:val="005238C5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85B"/>
    <w:rsid w:val="00553C47"/>
    <w:rsid w:val="00554B5A"/>
    <w:rsid w:val="00556C2C"/>
    <w:rsid w:val="00560EC8"/>
    <w:rsid w:val="0056123A"/>
    <w:rsid w:val="0056193C"/>
    <w:rsid w:val="0056453E"/>
    <w:rsid w:val="00573148"/>
    <w:rsid w:val="005737F9"/>
    <w:rsid w:val="00573961"/>
    <w:rsid w:val="00576C3A"/>
    <w:rsid w:val="0058251F"/>
    <w:rsid w:val="00582E9D"/>
    <w:rsid w:val="00584764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C6F41"/>
    <w:rsid w:val="005D0158"/>
    <w:rsid w:val="005D5FBD"/>
    <w:rsid w:val="005E2A31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76F1"/>
    <w:rsid w:val="00620A5D"/>
    <w:rsid w:val="006230C8"/>
    <w:rsid w:val="00623367"/>
    <w:rsid w:val="006235CE"/>
    <w:rsid w:val="006237C0"/>
    <w:rsid w:val="00626D8B"/>
    <w:rsid w:val="00627C43"/>
    <w:rsid w:val="006322D1"/>
    <w:rsid w:val="00634F63"/>
    <w:rsid w:val="00635F2C"/>
    <w:rsid w:val="00643BE4"/>
    <w:rsid w:val="00643C4E"/>
    <w:rsid w:val="00645E00"/>
    <w:rsid w:val="00646760"/>
    <w:rsid w:val="00650A31"/>
    <w:rsid w:val="00650F82"/>
    <w:rsid w:val="00651552"/>
    <w:rsid w:val="00652BF0"/>
    <w:rsid w:val="006541E0"/>
    <w:rsid w:val="00656A5D"/>
    <w:rsid w:val="00660C13"/>
    <w:rsid w:val="006617A3"/>
    <w:rsid w:val="00664622"/>
    <w:rsid w:val="006666F2"/>
    <w:rsid w:val="00670BE2"/>
    <w:rsid w:val="006714EA"/>
    <w:rsid w:val="00672F3A"/>
    <w:rsid w:val="00676D85"/>
    <w:rsid w:val="00690ECB"/>
    <w:rsid w:val="00691CF8"/>
    <w:rsid w:val="006935EE"/>
    <w:rsid w:val="006A2836"/>
    <w:rsid w:val="006A2FBE"/>
    <w:rsid w:val="006A38B4"/>
    <w:rsid w:val="006B2E21"/>
    <w:rsid w:val="006B3BD4"/>
    <w:rsid w:val="006C0266"/>
    <w:rsid w:val="006C1D85"/>
    <w:rsid w:val="006D4CC0"/>
    <w:rsid w:val="006E0701"/>
    <w:rsid w:val="006E0D92"/>
    <w:rsid w:val="006E1A83"/>
    <w:rsid w:val="006E6F6D"/>
    <w:rsid w:val="006E72E7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475CE"/>
    <w:rsid w:val="007506C9"/>
    <w:rsid w:val="007512D5"/>
    <w:rsid w:val="00751F05"/>
    <w:rsid w:val="0075418B"/>
    <w:rsid w:val="0076053B"/>
    <w:rsid w:val="007646BD"/>
    <w:rsid w:val="007732E7"/>
    <w:rsid w:val="007739FB"/>
    <w:rsid w:val="00774E1B"/>
    <w:rsid w:val="007750C3"/>
    <w:rsid w:val="00777823"/>
    <w:rsid w:val="00782FFD"/>
    <w:rsid w:val="0078474B"/>
    <w:rsid w:val="0078682E"/>
    <w:rsid w:val="007870BF"/>
    <w:rsid w:val="00787220"/>
    <w:rsid w:val="00791A5E"/>
    <w:rsid w:val="00795E0C"/>
    <w:rsid w:val="007A1F1E"/>
    <w:rsid w:val="007A31D8"/>
    <w:rsid w:val="007A5E73"/>
    <w:rsid w:val="007B050B"/>
    <w:rsid w:val="007B3092"/>
    <w:rsid w:val="007B4029"/>
    <w:rsid w:val="007B44A4"/>
    <w:rsid w:val="007B4A51"/>
    <w:rsid w:val="007C6D46"/>
    <w:rsid w:val="007D5189"/>
    <w:rsid w:val="007F5541"/>
    <w:rsid w:val="007F67DB"/>
    <w:rsid w:val="00810B21"/>
    <w:rsid w:val="008130F8"/>
    <w:rsid w:val="0081420B"/>
    <w:rsid w:val="00814576"/>
    <w:rsid w:val="00823064"/>
    <w:rsid w:val="00825396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872D3"/>
    <w:rsid w:val="00890F51"/>
    <w:rsid w:val="00893F86"/>
    <w:rsid w:val="00897CC1"/>
    <w:rsid w:val="008A1125"/>
    <w:rsid w:val="008A2B66"/>
    <w:rsid w:val="008A5252"/>
    <w:rsid w:val="008A54F2"/>
    <w:rsid w:val="008B078C"/>
    <w:rsid w:val="008B246E"/>
    <w:rsid w:val="008B53FB"/>
    <w:rsid w:val="008B77D8"/>
    <w:rsid w:val="008C429A"/>
    <w:rsid w:val="008C4AC4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07C79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7794E"/>
    <w:rsid w:val="00980E2F"/>
    <w:rsid w:val="00982459"/>
    <w:rsid w:val="00982F9C"/>
    <w:rsid w:val="00984D92"/>
    <w:rsid w:val="00987384"/>
    <w:rsid w:val="00992B23"/>
    <w:rsid w:val="00995DC8"/>
    <w:rsid w:val="00997D92"/>
    <w:rsid w:val="009A46FB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0D85"/>
    <w:rsid w:val="009F1434"/>
    <w:rsid w:val="009F5025"/>
    <w:rsid w:val="009F5A2D"/>
    <w:rsid w:val="009F6CC9"/>
    <w:rsid w:val="00A01753"/>
    <w:rsid w:val="00A0222B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32A8A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3EAF"/>
    <w:rsid w:val="00A86241"/>
    <w:rsid w:val="00A875B5"/>
    <w:rsid w:val="00A90107"/>
    <w:rsid w:val="00A90E2F"/>
    <w:rsid w:val="00A955FC"/>
    <w:rsid w:val="00AA32E4"/>
    <w:rsid w:val="00AA6078"/>
    <w:rsid w:val="00AB08AD"/>
    <w:rsid w:val="00AB20CA"/>
    <w:rsid w:val="00AB5F09"/>
    <w:rsid w:val="00AC4ABB"/>
    <w:rsid w:val="00AD07B9"/>
    <w:rsid w:val="00AD4647"/>
    <w:rsid w:val="00AD59DC"/>
    <w:rsid w:val="00AE2C77"/>
    <w:rsid w:val="00AE2E34"/>
    <w:rsid w:val="00AE4A91"/>
    <w:rsid w:val="00AE5276"/>
    <w:rsid w:val="00AE71AA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1D4B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339F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38C1"/>
    <w:rsid w:val="00B9478D"/>
    <w:rsid w:val="00B94EA2"/>
    <w:rsid w:val="00BA03B0"/>
    <w:rsid w:val="00BA2A8E"/>
    <w:rsid w:val="00BA4838"/>
    <w:rsid w:val="00BA61B1"/>
    <w:rsid w:val="00BA7FBC"/>
    <w:rsid w:val="00BB0A93"/>
    <w:rsid w:val="00BB3187"/>
    <w:rsid w:val="00BB3E88"/>
    <w:rsid w:val="00BB762F"/>
    <w:rsid w:val="00BB7F50"/>
    <w:rsid w:val="00BC18AF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590"/>
    <w:rsid w:val="00C22FF5"/>
    <w:rsid w:val="00C26D4B"/>
    <w:rsid w:val="00C31C05"/>
    <w:rsid w:val="00C31F08"/>
    <w:rsid w:val="00C34549"/>
    <w:rsid w:val="00C34D36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37DD"/>
    <w:rsid w:val="00C6708D"/>
    <w:rsid w:val="00C71C22"/>
    <w:rsid w:val="00C76F44"/>
    <w:rsid w:val="00C82D6D"/>
    <w:rsid w:val="00C84DF7"/>
    <w:rsid w:val="00C87D23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38E8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D00EDB"/>
    <w:rsid w:val="00D201B6"/>
    <w:rsid w:val="00D212D5"/>
    <w:rsid w:val="00D33997"/>
    <w:rsid w:val="00D340EE"/>
    <w:rsid w:val="00D350DE"/>
    <w:rsid w:val="00D36189"/>
    <w:rsid w:val="00D40B4B"/>
    <w:rsid w:val="00D43E76"/>
    <w:rsid w:val="00D44050"/>
    <w:rsid w:val="00D50989"/>
    <w:rsid w:val="00D527C9"/>
    <w:rsid w:val="00D572A5"/>
    <w:rsid w:val="00D61108"/>
    <w:rsid w:val="00D643E3"/>
    <w:rsid w:val="00D64AC5"/>
    <w:rsid w:val="00D65C68"/>
    <w:rsid w:val="00D6670C"/>
    <w:rsid w:val="00D71488"/>
    <w:rsid w:val="00D80C64"/>
    <w:rsid w:val="00D82DBC"/>
    <w:rsid w:val="00D832F0"/>
    <w:rsid w:val="00D85612"/>
    <w:rsid w:val="00DA0D87"/>
    <w:rsid w:val="00DA32DD"/>
    <w:rsid w:val="00DA76B2"/>
    <w:rsid w:val="00DB65F9"/>
    <w:rsid w:val="00DB7093"/>
    <w:rsid w:val="00DC375E"/>
    <w:rsid w:val="00DC583E"/>
    <w:rsid w:val="00DC6190"/>
    <w:rsid w:val="00DE06F1"/>
    <w:rsid w:val="00DE3B25"/>
    <w:rsid w:val="00DE5667"/>
    <w:rsid w:val="00DE6E86"/>
    <w:rsid w:val="00DE75E4"/>
    <w:rsid w:val="00DF2159"/>
    <w:rsid w:val="00DF3235"/>
    <w:rsid w:val="00DF44C8"/>
    <w:rsid w:val="00DF4B0B"/>
    <w:rsid w:val="00DF557F"/>
    <w:rsid w:val="00DF6D1F"/>
    <w:rsid w:val="00E01111"/>
    <w:rsid w:val="00E01D99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B29"/>
    <w:rsid w:val="00E46EB7"/>
    <w:rsid w:val="00E535BD"/>
    <w:rsid w:val="00E54C4D"/>
    <w:rsid w:val="00E557B3"/>
    <w:rsid w:val="00E56328"/>
    <w:rsid w:val="00E6529F"/>
    <w:rsid w:val="00E67142"/>
    <w:rsid w:val="00E7535F"/>
    <w:rsid w:val="00E75B2F"/>
    <w:rsid w:val="00E85244"/>
    <w:rsid w:val="00E85DBB"/>
    <w:rsid w:val="00EA01A2"/>
    <w:rsid w:val="00EA30C1"/>
    <w:rsid w:val="00EA31CB"/>
    <w:rsid w:val="00EA568C"/>
    <w:rsid w:val="00EA767F"/>
    <w:rsid w:val="00EB366D"/>
    <w:rsid w:val="00EB59EE"/>
    <w:rsid w:val="00EC2BC8"/>
    <w:rsid w:val="00EC371E"/>
    <w:rsid w:val="00ED08E3"/>
    <w:rsid w:val="00ED7FCD"/>
    <w:rsid w:val="00EE19AE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C67"/>
    <w:rsid w:val="00F73E85"/>
    <w:rsid w:val="00F74F1A"/>
    <w:rsid w:val="00F76328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B7B2B"/>
    <w:rsid w:val="00FC11DF"/>
    <w:rsid w:val="00FC1493"/>
    <w:rsid w:val="00FC272A"/>
    <w:rsid w:val="00FC396B"/>
    <w:rsid w:val="00FC3F80"/>
    <w:rsid w:val="00FC7EBF"/>
    <w:rsid w:val="00FD0931"/>
    <w:rsid w:val="00FD25FE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d">
    <w:name w:val="Table Grid"/>
    <w:basedOn w:val="a1"/>
    <w:uiPriority w:val="59"/>
    <w:rsid w:val="00A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1D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89AC-CAB4-4F61-9E78-29DB518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23</Pages>
  <Words>5978</Words>
  <Characters>34080</Characters>
  <Application>Microsoft Office Word</Application>
  <DocSecurity>0</DocSecurity>
  <Lines>284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662</cp:revision>
  <cp:lastPrinted>2023-04-25T07:21:00Z</cp:lastPrinted>
  <dcterms:created xsi:type="dcterms:W3CDTF">2021-06-28T12:08:00Z</dcterms:created>
  <dcterms:modified xsi:type="dcterms:W3CDTF">2025-12-03T11:35:00Z</dcterms:modified>
</cp:coreProperties>
</file>