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668F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668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668FA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668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E052164" w:rsidR="0022631D" w:rsidRPr="002668FA" w:rsidRDefault="00353D02" w:rsidP="005D1177">
      <w:pPr>
        <w:pStyle w:val="BodyTextIndent"/>
        <w:ind w:left="-284" w:firstLine="426"/>
        <w:jc w:val="both"/>
        <w:rPr>
          <w:rFonts w:ascii="GHEA Grapalat" w:eastAsia="Times New Roman" w:hAnsi="GHEA Grapalat"/>
          <w:sz w:val="20"/>
          <w:szCs w:val="20"/>
          <w:lang w:val="af-ZA"/>
        </w:rPr>
      </w:pPr>
      <w:r w:rsidRPr="002668F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</w:t>
      </w:r>
      <w:r w:rsidR="009F42FD" w:rsidRPr="002668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F42FD"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22631D"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 </w:t>
      </w:r>
      <w:r w:rsidR="002668FA" w:rsidRPr="002668FA">
        <w:rPr>
          <w:rFonts w:ascii="GHEA Grapalat" w:hAnsi="GHEA Grapalat"/>
          <w:b/>
          <w:color w:val="0000FF"/>
          <w:sz w:val="20"/>
          <w:szCs w:val="20"/>
          <w:lang w:val="af-ZA"/>
        </w:rPr>
        <w:t>Հայաստանի Հանրապետության «Լոռու մարզի Հաղպատի միջնակարգ դպրոցի»  վերանորոգման աշխատանքների</w:t>
      </w:r>
      <w:r w:rsidR="002668FA" w:rsidRPr="002668FA">
        <w:rPr>
          <w:rFonts w:ascii="GHEA Grapalat" w:hAnsi="GHEA Grapalat"/>
          <w:sz w:val="20"/>
          <w:szCs w:val="20"/>
          <w:lang w:val="af-ZA"/>
        </w:rPr>
        <w:t xml:space="preserve"> </w:t>
      </w:r>
      <w:r w:rsidR="000E5733"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2668FA" w:rsidRPr="002668FA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ՀՏԶՀ-ԴՎՀԲՄ-ԱՇՁԲ-2026/12</w:t>
      </w:r>
      <w:r w:rsidR="00C61AD4" w:rsidRPr="002668FA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</w:t>
      </w:r>
      <w:r w:rsidR="0022631D"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668FA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6"/>
        <w:gridCol w:w="101"/>
        <w:gridCol w:w="168"/>
        <w:gridCol w:w="403"/>
        <w:gridCol w:w="746"/>
        <w:gridCol w:w="287"/>
        <w:gridCol w:w="127"/>
        <w:gridCol w:w="302"/>
        <w:gridCol w:w="483"/>
        <w:gridCol w:w="190"/>
        <w:gridCol w:w="170"/>
        <w:gridCol w:w="7"/>
        <w:gridCol w:w="205"/>
        <w:gridCol w:w="362"/>
        <w:gridCol w:w="100"/>
        <w:gridCol w:w="603"/>
        <w:gridCol w:w="8"/>
        <w:gridCol w:w="133"/>
        <w:gridCol w:w="37"/>
        <w:gridCol w:w="962"/>
        <w:gridCol w:w="63"/>
        <w:gridCol w:w="69"/>
        <w:gridCol w:w="531"/>
        <w:gridCol w:w="36"/>
        <w:gridCol w:w="168"/>
        <w:gridCol w:w="341"/>
        <w:gridCol w:w="61"/>
        <w:gridCol w:w="274"/>
        <w:gridCol w:w="13"/>
        <w:gridCol w:w="423"/>
        <w:gridCol w:w="526"/>
        <w:gridCol w:w="110"/>
        <w:gridCol w:w="188"/>
        <w:gridCol w:w="20"/>
        <w:gridCol w:w="26"/>
        <w:gridCol w:w="404"/>
        <w:gridCol w:w="7"/>
        <w:gridCol w:w="142"/>
        <w:gridCol w:w="276"/>
        <w:gridCol w:w="1438"/>
      </w:tblGrid>
      <w:tr w:rsidR="0022631D" w:rsidRPr="006411FC" w14:paraId="3BCB0F4A" w14:textId="77777777" w:rsidTr="00265F48">
        <w:trPr>
          <w:trHeight w:val="146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1" w:type="dxa"/>
            <w:gridSpan w:val="37"/>
            <w:shd w:val="clear" w:color="auto" w:fill="auto"/>
            <w:vAlign w:val="center"/>
          </w:tcPr>
          <w:p w14:paraId="43448F70" w14:textId="77777777" w:rsidR="00504892" w:rsidRDefault="00504892" w:rsidP="00265F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47A5B985" w14:textId="77777777" w:rsidR="0022631D" w:rsidRPr="006411FC" w:rsidRDefault="0022631D" w:rsidP="00265F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462D86">
        <w:trPr>
          <w:trHeight w:val="110"/>
        </w:trPr>
        <w:tc>
          <w:tcPr>
            <w:tcW w:w="971" w:type="dxa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6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9F68B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6" w:type="dxa"/>
            <w:gridSpan w:val="13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6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462D86">
        <w:trPr>
          <w:trHeight w:val="175"/>
        </w:trPr>
        <w:tc>
          <w:tcPr>
            <w:tcW w:w="971" w:type="dxa"/>
            <w:gridSpan w:val="4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6" w:type="dxa"/>
            <w:gridSpan w:val="13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97" w:type="dxa"/>
            <w:gridSpan w:val="7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462D86">
        <w:trPr>
          <w:trHeight w:val="275"/>
        </w:trPr>
        <w:tc>
          <w:tcPr>
            <w:tcW w:w="9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68FA" w:rsidRPr="00C61AD4" w14:paraId="6CB0AC86" w14:textId="77777777" w:rsidTr="00B3412C">
        <w:trPr>
          <w:trHeight w:val="40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62F33415" w14:textId="77777777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ECEC8B9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Հանրապետության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Լոռու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Հաղպատի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միջնակարգ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դպրոցի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proofErr w:type="gram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վերանորոգման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աշխատանքներ</w:t>
            </w:r>
            <w:proofErr w:type="spellEnd"/>
            <w:proofErr w:type="gram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3D2A43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5FACE0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1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073F829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205</w:t>
            </w: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962</w:t>
            </w: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741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82BBF5B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Հանրապետության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Լոռու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մարզի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Հաղպատի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միջնակարգ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դպրոցի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proofErr w:type="gram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վերանորոգման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աշխատանքներ</w:t>
            </w:r>
            <w:proofErr w:type="spellEnd"/>
            <w:proofErr w:type="gramEnd"/>
          </w:p>
        </w:tc>
        <w:tc>
          <w:tcPr>
            <w:tcW w:w="1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CE7CE85" w:rsidR="002668FA" w:rsidRPr="00C61AD4" w:rsidRDefault="002668FA" w:rsidP="002668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Hlk227063252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Հայաստանի Հանրապետության «Լոռու մարզի Հաղպատի միջնակարգ դպրոցի» </w:t>
            </w:r>
            <w:bookmarkEnd w:id="0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վերանորոգման  աշխատանքներ</w:t>
            </w:r>
          </w:p>
        </w:tc>
      </w:tr>
      <w:tr w:rsidR="00AA4B04" w:rsidRPr="00C61AD4" w14:paraId="4B8BC031" w14:textId="77777777" w:rsidTr="00314158">
        <w:trPr>
          <w:trHeight w:val="169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451180EC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2668FA" w14:paraId="24C3B0CB" w14:textId="77777777" w:rsidTr="00476FF0">
        <w:trPr>
          <w:trHeight w:val="137"/>
        </w:trPr>
        <w:tc>
          <w:tcPr>
            <w:tcW w:w="43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4B04" w:rsidRPr="00590929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AA4B04" w:rsidRPr="006411FC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AA4B04" w:rsidRPr="002668FA" w14:paraId="075EEA57" w14:textId="77777777" w:rsidTr="00314158">
        <w:trPr>
          <w:trHeight w:val="196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4B04" w:rsidRPr="00590929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3B745E" w14:paraId="681596E8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A4B04" w:rsidRPr="006411FC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9F89621" w:rsidR="00AA4B04" w:rsidRPr="003B74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2668FA" w:rsidRPr="002668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2668FA" w:rsidRPr="002668FA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2668FA" w:rsidRPr="002668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4E3FD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A4B04" w:rsidRPr="006411FC" w14:paraId="199F948A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2F1BB05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6411FC" w14:paraId="6EE9B008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01115AA3" w:rsidR="00AA4B04" w:rsidRPr="00B26981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47086D66" w:rsidR="00AA4B04" w:rsidRPr="009808B3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A4B04" w:rsidRPr="006411FC" w14:paraId="13FE412E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A4B04" w:rsidRPr="006411FC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A4B04" w:rsidRPr="006411FC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A4B04" w:rsidRPr="006411FC" w14:paraId="321D26CF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316FF35" w:rsidR="00AA4B04" w:rsidRPr="0013599A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EA09F95" w:rsidR="00AA4B04" w:rsidRPr="0013599A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4B04" w:rsidRPr="006411FC" w14:paraId="68E691E2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435BA10B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5C096ED1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14495332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6411FC" w14:paraId="02D80EF2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1003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2FA9" w14:textId="2D3DEA2E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147CD" w14:textId="5762A946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6269" w14:textId="70ED36F8" w:rsidR="00AA4B04" w:rsidRPr="0075455E" w:rsidRDefault="00AA4B04" w:rsidP="00AA4B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04" w:rsidRPr="006411FC" w14:paraId="30B89418" w14:textId="77777777" w:rsidTr="00314158">
        <w:trPr>
          <w:trHeight w:val="54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70776DB4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B04" w:rsidRPr="006411FC" w14:paraId="10DC4861" w14:textId="77777777" w:rsidTr="00476FF0">
        <w:trPr>
          <w:trHeight w:val="312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03" w:type="dxa"/>
            <w:gridSpan w:val="30"/>
            <w:shd w:val="clear" w:color="auto" w:fill="auto"/>
            <w:vAlign w:val="center"/>
          </w:tcPr>
          <w:p w14:paraId="1FD38684" w14:textId="2B462658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4B04" w:rsidRPr="006411FC" w14:paraId="3FD00E3A" w14:textId="77777777" w:rsidTr="00476FF0">
        <w:trPr>
          <w:trHeight w:val="250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14:paraId="635EE2FE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4A371FE9" w14:textId="77777777" w:rsidR="00AA4B04" w:rsidRPr="006411FC" w:rsidRDefault="00AA4B04" w:rsidP="00AA4B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4B04" w:rsidRPr="000A144D" w14:paraId="50E939E0" w14:textId="77777777" w:rsidTr="00314158">
        <w:tc>
          <w:tcPr>
            <w:tcW w:w="11212" w:type="dxa"/>
            <w:gridSpan w:val="41"/>
            <w:shd w:val="clear" w:color="auto" w:fill="auto"/>
            <w:vAlign w:val="center"/>
          </w:tcPr>
          <w:p w14:paraId="70859D1C" w14:textId="1EC3DB76" w:rsidR="00AA4B04" w:rsidRPr="00AA139E" w:rsidRDefault="00AA4B04" w:rsidP="00AA4B04">
            <w:pPr>
              <w:pStyle w:val="Default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2668FA" w:rsidRPr="002668FA" w14:paraId="128D0452" w14:textId="77777777" w:rsidTr="00B3412C">
        <w:trPr>
          <w:trHeight w:val="36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0C396678" w14:textId="16B464E0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111CB31B" w14:textId="68062262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Գունաշեն</w:t>
            </w:r>
            <w:proofErr w:type="spellEnd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և «ԳԵՎՏԱՆԻՔ» </w:t>
            </w:r>
            <w:proofErr w:type="gramStart"/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  կոնսորցիում</w:t>
            </w:r>
            <w:proofErr w:type="gramEnd"/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50FDE6A" w14:textId="761AC37D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136,900,000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1CD4468D" w14:textId="237BD8D3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27,380,000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16A351FD" w14:textId="031D0DDE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164,280,000</w:t>
            </w:r>
          </w:p>
        </w:tc>
      </w:tr>
      <w:tr w:rsidR="002668FA" w:rsidRPr="0075455E" w14:paraId="5EC919B7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214A0E20" w14:textId="1F33E31B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10C9C5F" w14:textId="4E70F1B4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«Մ-Բիլդ» ՍՊԸ և «Գրանդ Ալյանս» ՍՊԸ կոնսորցիում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4BD7AB92" w14:textId="66449B8E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148,066,667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2BDDEFAF" w14:textId="20AC84A1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29,613,333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7C40D8C6" w14:textId="70955759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177,680,000</w:t>
            </w:r>
          </w:p>
        </w:tc>
      </w:tr>
      <w:tr w:rsidR="002668FA" w:rsidRPr="0075455E" w14:paraId="238CCF50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031AE828" w14:textId="0A4A363A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A48FC8E" w14:textId="5DF55B48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«Գեոպրոեկտ»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D0DAC02" w14:textId="68E509B1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149,333,330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308C79BB" w14:textId="7D552E03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29,866,666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1826CCD5" w14:textId="08A7EDA8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179,199,996</w:t>
            </w:r>
          </w:p>
        </w:tc>
      </w:tr>
      <w:tr w:rsidR="002668FA" w:rsidRPr="0075455E" w14:paraId="7B59D622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4A2A2C18" w14:textId="5C0F035E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4EEA7D51" w14:textId="28BBD1A5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«Ստրոյ Գիգանտ» ՍՊԸ, «Ապէքս Բիլդ» ՍՊԸ և «ԷլՇին ՍՊԸ ՀԳ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4D67C26" w14:textId="320E49B7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159,000,000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03656A9E" w14:textId="42A8410F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31,800,000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64B7D456" w14:textId="375149DD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190,800,000</w:t>
            </w:r>
          </w:p>
        </w:tc>
      </w:tr>
      <w:tr w:rsidR="002668FA" w:rsidRPr="0075455E" w14:paraId="2880A2DD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2D5589DA" w14:textId="2A211A91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459631D5" w14:textId="48665D6A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«ԵՎՐՈՍՏՐՈՅ»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2E0296B7" w14:textId="325B13B1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157,500,000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345CB842" w14:textId="4265B60E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31,500,000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64158448" w14:textId="29EF6F57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189,000,000</w:t>
            </w:r>
          </w:p>
        </w:tc>
      </w:tr>
      <w:tr w:rsidR="002668FA" w:rsidRPr="0075455E" w14:paraId="77090048" w14:textId="77777777" w:rsidTr="00B3412C">
        <w:trPr>
          <w:trHeight w:val="27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0B8CBF7C" w14:textId="4E982B6F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19AAF6C" w14:textId="1A1A875F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«ԱՐՄԱՐ ԳՐՈՒՊ»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6487EA1" w14:textId="4DCC8939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166,250,000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762EA965" w14:textId="6EEE5556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33,250,000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77258FC2" w14:textId="41A0B79D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199,500,000</w:t>
            </w:r>
          </w:p>
        </w:tc>
      </w:tr>
      <w:tr w:rsidR="002668FA" w:rsidRPr="002668FA" w14:paraId="492C968B" w14:textId="77777777" w:rsidTr="00A01EBD">
        <w:trPr>
          <w:trHeight w:val="385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6CE90564" w14:textId="3EC73277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4280B747" w14:textId="44EE1FCD" w:rsidR="002668FA" w:rsidRPr="002668FA" w:rsidRDefault="002668FA" w:rsidP="00A01E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«Ռո-Մար» ՍՊԸ, «Էմթիեյ» ՍՊԸ, «Գլոբալ Սերվիսիս Գրուպ» ՍՊԸ, </w:t>
            </w: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«Ջերմգազշին» ՍՊԸ կոնսորցիում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5F03F2A3" w14:textId="13CD9F1D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133,000,000</w:t>
            </w:r>
          </w:p>
        </w:tc>
        <w:tc>
          <w:tcPr>
            <w:tcW w:w="2104" w:type="dxa"/>
            <w:gridSpan w:val="9"/>
            <w:shd w:val="clear" w:color="auto" w:fill="auto"/>
            <w:vAlign w:val="center"/>
          </w:tcPr>
          <w:p w14:paraId="35803ADF" w14:textId="72ECE27E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26,600,000</w:t>
            </w:r>
          </w:p>
        </w:tc>
        <w:tc>
          <w:tcPr>
            <w:tcW w:w="2313" w:type="dxa"/>
            <w:gridSpan w:val="7"/>
            <w:shd w:val="clear" w:color="auto" w:fill="auto"/>
            <w:vAlign w:val="center"/>
          </w:tcPr>
          <w:p w14:paraId="135F46D2" w14:textId="6D779DFA" w:rsidR="002668FA" w:rsidRPr="002668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68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159,600,000</w:t>
            </w:r>
          </w:p>
        </w:tc>
      </w:tr>
      <w:tr w:rsidR="002668FA" w:rsidRPr="002668FA" w14:paraId="700CD07F" w14:textId="77777777" w:rsidTr="00314158">
        <w:trPr>
          <w:trHeight w:val="6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10ED0606" w14:textId="77777777" w:rsidR="002668FA" w:rsidRPr="0075455E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68FA" w:rsidRPr="006411FC" w14:paraId="521126E1" w14:textId="77777777" w:rsidTr="00314158"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668FA" w:rsidRPr="006411FC" w14:paraId="552679BF" w14:textId="77777777" w:rsidTr="00476FF0"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4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0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668FA" w:rsidRPr="006411FC" w14:paraId="3CA6FABC" w14:textId="77777777" w:rsidTr="00476FF0"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668FA" w:rsidRPr="003D54FA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Հայտով ներկայացված </w:t>
            </w:r>
            <w:proofErr w:type="spellStart"/>
            <w:r w:rsidRPr="003D5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փաստաթղթերի</w:t>
            </w:r>
            <w:proofErr w:type="spellEnd"/>
            <w:r w:rsidRPr="003D5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668FA" w:rsidRPr="006411FC" w:rsidRDefault="002668FA" w:rsidP="00266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D54FA" w:rsidRPr="003D54FA" w14:paraId="5E96A1C5" w14:textId="77777777" w:rsidTr="003D54FA">
        <w:trPr>
          <w:trHeight w:val="223"/>
        </w:trPr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24900" w14:textId="77777777" w:rsidR="003D54FA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EC75E9E" w14:textId="7285B949" w:rsidR="003D54FA" w:rsidRPr="00FC3D33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3D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  <w:p w14:paraId="6CEDE0AD" w14:textId="10D08A32" w:rsidR="003D54FA" w:rsidRPr="00FC3D33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C10253C" w:rsidR="003D54FA" w:rsidRPr="00FC3D33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«Ռո-Մար» ՍՊԸ, «Էմթիեյ» ՍՊԸ, «Գլոբալ Սերվիսիս Գրուպ» ՍՊԸ, </w:t>
            </w:r>
            <w:r w:rsidRPr="003D5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br/>
              <w:t>«Ջերմգազշին» ՍՊԸ կոնսորցիում</w:t>
            </w: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9800548" w:rsidR="003D54FA" w:rsidRPr="00FC3D33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3AC5DD4" w:rsidR="003D54FA" w:rsidRPr="003D54FA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հիմք ընդունելով ՀՀ կառավարության 2017թ. մայիսի 4-ի N 526-Ն որոշմամբ հաստատված «Գնումների գործընթացի կազմակերպման» կարգի 32-րդ կետի 19-րդ ենթակետը, 42-րդ կետը և «Գնումների </w:t>
            </w:r>
            <w:r w:rsidRPr="003D5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մասին» ՀՀ օրենքի 6-րդ հոդվածի 1-ին մասի 6-րդ կետի «Ա» ենթակետը։ Մասնակցի կողմից խախտվել է գնման գործընթացում ստանձնած պարտավորությունը, այն է սահմանված ժամկետում ամբողջական չի շտկել հայտի գնահատման արդյունքում արձանագրված անհամապատասխանությունները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F575706" w:rsidR="003D54FA" w:rsidRPr="00FC3D33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44B2600A" w:rsidR="003D54FA" w:rsidRPr="00FC3D33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D54FA" w:rsidRPr="003B745E" w14:paraId="522ACAFB" w14:textId="77777777" w:rsidTr="00476FF0">
        <w:trPr>
          <w:trHeight w:val="331"/>
        </w:trPr>
        <w:tc>
          <w:tcPr>
            <w:tcW w:w="2407" w:type="dxa"/>
            <w:gridSpan w:val="7"/>
            <w:shd w:val="clear" w:color="auto" w:fill="auto"/>
            <w:vAlign w:val="center"/>
          </w:tcPr>
          <w:p w14:paraId="514F7E40" w14:textId="77777777" w:rsidR="003D54FA" w:rsidRPr="006411FC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34"/>
            <w:shd w:val="clear" w:color="auto" w:fill="auto"/>
            <w:vAlign w:val="center"/>
          </w:tcPr>
          <w:p w14:paraId="5703DCCE" w14:textId="77777777" w:rsidR="003D54FA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4A3AA713" w:rsidR="003D54FA" w:rsidRPr="003B745E" w:rsidRDefault="003D54FA" w:rsidP="003D54FA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</w:t>
            </w:r>
          </w:p>
        </w:tc>
      </w:tr>
      <w:tr w:rsidR="003D54FA" w:rsidRPr="003B745E" w14:paraId="617248CD" w14:textId="77777777" w:rsidTr="00314158">
        <w:trPr>
          <w:trHeight w:val="289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4FA" w:rsidRPr="006411FC" w14:paraId="1515C769" w14:textId="77777777" w:rsidTr="00476FF0">
        <w:trPr>
          <w:trHeight w:val="346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3D54FA" w:rsidRPr="006411FC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63CA64" w:rsidR="003D54FA" w:rsidRPr="007D6BFF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Pr="003D54FA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05</w:t>
            </w:r>
            <w:r w:rsidRPr="003D54FA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2026թ</w:t>
            </w:r>
            <w:r w:rsidRPr="003D54FA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D54FA" w:rsidRPr="006411FC" w14:paraId="71BEA872" w14:textId="77777777" w:rsidTr="00476FF0">
        <w:trPr>
          <w:trHeight w:val="259"/>
        </w:trPr>
        <w:tc>
          <w:tcPr>
            <w:tcW w:w="4964" w:type="dxa"/>
            <w:gridSpan w:val="18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3D54FA" w:rsidRPr="006411FC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D54FA" w:rsidRPr="006411FC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D54FA" w:rsidRPr="006411FC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D54FA" w:rsidRPr="006411FC" w14:paraId="04C80107" w14:textId="77777777" w:rsidTr="00476FF0">
        <w:trPr>
          <w:trHeight w:val="283"/>
        </w:trPr>
        <w:tc>
          <w:tcPr>
            <w:tcW w:w="4964" w:type="dxa"/>
            <w:gridSpan w:val="18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3D54FA" w:rsidRPr="006411FC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67D23FF8" w:rsidR="003D54FA" w:rsidRPr="007D6BFF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2026թ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64337E" w:rsidR="003D54FA" w:rsidRPr="007D6BFF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22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Pr="007D6BFF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թ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D54FA" w:rsidRPr="006411FC" w14:paraId="2254FA5C" w14:textId="1CE4963D" w:rsidTr="00476FF0">
        <w:trPr>
          <w:trHeight w:val="344"/>
        </w:trPr>
        <w:tc>
          <w:tcPr>
            <w:tcW w:w="4964" w:type="dxa"/>
            <w:gridSpan w:val="1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3D54FA" w:rsidRPr="006411FC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8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321E47FC" w:rsidR="003D54FA" w:rsidRPr="007D6BFF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29</w:t>
            </w:r>
            <w:r w:rsidRPr="003D54FA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05</w:t>
            </w:r>
            <w:r w:rsidRPr="003D54FA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D54FA" w:rsidRPr="006411FC" w14:paraId="3C75DA26" w14:textId="77777777" w:rsidTr="00861F07">
        <w:trPr>
          <w:trHeight w:val="344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3D54FA" w:rsidRPr="006411FC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661D392F" w:rsidR="003D54FA" w:rsidRPr="007D6BFF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.2026թ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D54FA" w:rsidRPr="006411FC" w14:paraId="0682C6BE" w14:textId="77777777" w:rsidTr="00861F07">
        <w:trPr>
          <w:trHeight w:val="344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3D54FA" w:rsidRPr="006411FC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59B1E53C" w:rsidR="003D54FA" w:rsidRPr="007D6BFF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7D6B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Pr="007D6BFF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թ</w:t>
            </w:r>
            <w:r w:rsidRPr="007D6BFF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D54FA" w:rsidRPr="006411FC" w14:paraId="79A64497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620F225D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4FA" w:rsidRPr="006411FC" w14:paraId="4E4EA255" w14:textId="77777777" w:rsidTr="00476FF0">
        <w:tc>
          <w:tcPr>
            <w:tcW w:w="566" w:type="dxa"/>
            <w:vMerge w:val="restart"/>
            <w:shd w:val="clear" w:color="auto" w:fill="auto"/>
            <w:vAlign w:val="center"/>
          </w:tcPr>
          <w:p w14:paraId="7AA249E4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92" w:type="dxa"/>
            <w:gridSpan w:val="35"/>
            <w:shd w:val="clear" w:color="auto" w:fill="auto"/>
            <w:vAlign w:val="center"/>
          </w:tcPr>
          <w:p w14:paraId="0A5086C3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3D54FA" w:rsidRPr="006411FC" w14:paraId="11F19FA1" w14:textId="77777777" w:rsidTr="007D6BFF">
        <w:trPr>
          <w:trHeight w:val="237"/>
        </w:trPr>
        <w:tc>
          <w:tcPr>
            <w:tcW w:w="566" w:type="dxa"/>
            <w:vMerge/>
            <w:shd w:val="clear" w:color="auto" w:fill="auto"/>
            <w:vAlign w:val="center"/>
          </w:tcPr>
          <w:p w14:paraId="39B67943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14:paraId="2856C5C6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3D54FA" w:rsidRPr="00041EEE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36" w:type="dxa"/>
            <w:gridSpan w:val="4"/>
            <w:vMerge w:val="restart"/>
            <w:shd w:val="clear" w:color="auto" w:fill="auto"/>
            <w:vAlign w:val="center"/>
          </w:tcPr>
          <w:p w14:paraId="58A33AC2" w14:textId="54D265C8" w:rsidR="003D54FA" w:rsidRPr="00041EEE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11" w:type="dxa"/>
            <w:gridSpan w:val="9"/>
            <w:shd w:val="clear" w:color="auto" w:fill="auto"/>
            <w:vAlign w:val="center"/>
          </w:tcPr>
          <w:p w14:paraId="0911FBB2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D54FA" w:rsidRPr="006411FC" w14:paraId="4DC53241" w14:textId="77777777" w:rsidTr="007D6BFF">
        <w:trPr>
          <w:trHeight w:val="238"/>
        </w:trPr>
        <w:tc>
          <w:tcPr>
            <w:tcW w:w="566" w:type="dxa"/>
            <w:vMerge/>
            <w:shd w:val="clear" w:color="auto" w:fill="auto"/>
            <w:vAlign w:val="center"/>
          </w:tcPr>
          <w:p w14:paraId="7D858D4B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14:paraId="078A8417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FDD9C22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14:paraId="73BBD2A3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4"/>
            <w:vMerge/>
            <w:shd w:val="clear" w:color="auto" w:fill="auto"/>
            <w:vAlign w:val="center"/>
          </w:tcPr>
          <w:p w14:paraId="078CB506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1" w:type="dxa"/>
            <w:gridSpan w:val="9"/>
            <w:shd w:val="clear" w:color="auto" w:fill="auto"/>
            <w:vAlign w:val="center"/>
          </w:tcPr>
          <w:p w14:paraId="3C0959C2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D54FA" w:rsidRPr="006411FC" w14:paraId="75FDA7D8" w14:textId="77777777" w:rsidTr="007D6BFF">
        <w:trPr>
          <w:trHeight w:val="263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6"/>
            </w:r>
          </w:p>
        </w:tc>
      </w:tr>
      <w:tr w:rsidR="003D54FA" w:rsidRPr="006411FC" w14:paraId="1E28D31D" w14:textId="77777777" w:rsidTr="007D6BFF">
        <w:trPr>
          <w:trHeight w:val="1046"/>
        </w:trPr>
        <w:tc>
          <w:tcPr>
            <w:tcW w:w="566" w:type="dxa"/>
            <w:shd w:val="clear" w:color="auto" w:fill="auto"/>
            <w:vAlign w:val="center"/>
          </w:tcPr>
          <w:p w14:paraId="1F1D10DE" w14:textId="3E610872" w:rsidR="003D54FA" w:rsidRPr="00987A8E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14:paraId="391CD0D1" w14:textId="211B3A17" w:rsidR="003D54FA" w:rsidRPr="00987A8E" w:rsidRDefault="003D54FA" w:rsidP="003D54FA">
            <w:pPr>
              <w:autoSpaceDE w:val="0"/>
              <w:autoSpaceDN w:val="0"/>
              <w:adjustRightInd w:val="0"/>
              <w:spacing w:before="0" w:after="0"/>
              <w:ind w:left="72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Գունաշեն</w:t>
            </w:r>
            <w:proofErr w:type="spellEnd"/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» ՍՊԸ և «ԳԵՎՏԱՆԻՔ» </w:t>
            </w:r>
            <w:proofErr w:type="gramStart"/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ՍՊԸ  </w:t>
            </w:r>
            <w:proofErr w:type="spellStart"/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կոնսորցիում</w:t>
            </w:r>
            <w:proofErr w:type="spellEnd"/>
            <w:proofErr w:type="gram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183B64C" w14:textId="0228F4A5" w:rsidR="003D54FA" w:rsidRPr="00987A8E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ՀՏԶՀ-ԴՎՀԲՄ-ԱՇՁԲ-2026/12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54F54951" w14:textId="2CD1AA79" w:rsidR="003D54FA" w:rsidRPr="00987A8E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08</w:t>
            </w:r>
            <w:r w:rsidRPr="002123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06</w:t>
            </w:r>
            <w:r w:rsidRPr="002123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2123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10A7BBF" w14:textId="68501AC1" w:rsidR="003D54FA" w:rsidRPr="00987A8E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 միջոցներ նախատեսվելու դեպքում կողմերի միջև կնքվող համաձայնագրով սահմանված ժամկետում</w:t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14:paraId="6A3A27A0" w14:textId="75E42ECB" w:rsidR="003D54FA" w:rsidRPr="00987A8E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73" w:type="dxa"/>
            <w:gridSpan w:val="8"/>
            <w:shd w:val="clear" w:color="auto" w:fill="auto"/>
            <w:vAlign w:val="center"/>
          </w:tcPr>
          <w:p w14:paraId="540F0BC7" w14:textId="0525C67D" w:rsidR="003D54FA" w:rsidRPr="00987A8E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87A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043A549" w14:textId="2DF21DD2" w:rsidR="003D54FA" w:rsidRPr="00987A8E" w:rsidRDefault="003D54FA" w:rsidP="003D54F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164,280,000 </w:t>
            </w:r>
          </w:p>
        </w:tc>
      </w:tr>
      <w:tr w:rsidR="003D54FA" w:rsidRPr="00481F5F" w14:paraId="41E4ED39" w14:textId="77777777" w:rsidTr="00314158">
        <w:trPr>
          <w:trHeight w:val="150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7265AE84" w14:textId="77777777" w:rsidR="003D54FA" w:rsidRPr="00481F5F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D54FA" w:rsidRPr="006411FC" w14:paraId="1F657639" w14:textId="77777777" w:rsidTr="00AB28AF">
        <w:trPr>
          <w:trHeight w:val="615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D54FA" w:rsidRPr="00333A54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D54FA" w:rsidRPr="00987A8E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28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D54FA" w:rsidRPr="00147CE3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7"/>
            </w:r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D54FA" w:rsidRPr="003D54FA" w14:paraId="20BC55B9" w14:textId="77777777" w:rsidTr="00AB28AF">
        <w:trPr>
          <w:trHeight w:val="721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756499F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531C6D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«Գունաշեն» ՍՊԸ և «ԳԵՎՏԱՆԻՔ» ՍՊԸ  կոնսորցիում</w:t>
            </w:r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6CC97" w14:textId="1F2134C6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ք</w:t>
            </w:r>
            <w:r w:rsidRPr="003D54F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Վանաձոր, Նիզամի 2ա </w:t>
            </w:r>
          </w:p>
          <w:p w14:paraId="7FE2F472" w14:textId="6FED2F7D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ք</w:t>
            </w:r>
            <w:r w:rsidRPr="003D54F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Վանաձոր, Հյուսիսային 14,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098409494,</w:t>
            </w:r>
          </w:p>
          <w:p w14:paraId="4916BA54" w14:textId="40C8BC50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055094939</w:t>
            </w:r>
          </w:p>
        </w:tc>
        <w:tc>
          <w:tcPr>
            <w:tcW w:w="25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8EF684B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3D54FA">
                <w:rPr>
                  <w:rFonts w:ascii="GHEA Grapalat" w:eastAsia="Times New Roman" w:hAnsi="GHEA Grapalat" w:cs="Sylfaen"/>
                  <w:b/>
                  <w:sz w:val="16"/>
                  <w:szCs w:val="16"/>
                  <w:lang w:val="hy-AM" w:eastAsia="ru-RU"/>
                </w:rPr>
                <w:t>gunashen@mail.ru</w:t>
              </w:r>
            </w:hyperlink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gevtaniq@gmail.com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3F29C57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220053335901000,220053334045000</w:t>
            </w:r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5D5D8" w14:textId="77777777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06938563,</w:t>
            </w:r>
          </w:p>
          <w:p w14:paraId="6E1E7005" w14:textId="65B98A05" w:rsidR="003D54FA" w:rsidRPr="003D54FA" w:rsidRDefault="003D54FA" w:rsidP="003D54FA">
            <w:pPr>
              <w:spacing w:before="0" w:after="0"/>
              <w:ind w:left="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D54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06944677</w:t>
            </w:r>
          </w:p>
        </w:tc>
      </w:tr>
      <w:tr w:rsidR="003D54FA" w:rsidRPr="003D54FA" w14:paraId="496A046D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393BE26B" w14:textId="74F7B5D4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4FA" w:rsidRPr="00DC0FC7" w14:paraId="3863A00B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D54FA" w:rsidRPr="006411FC" w:rsidRDefault="003D54FA" w:rsidP="003D54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DD97155" w:rsidR="003D54FA" w:rsidRPr="00365BB5" w:rsidRDefault="003D54FA" w:rsidP="003D54F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5619B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="00DC0FC7" w:rsidRPr="003D54FA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 xml:space="preserve">«Ռո-Մար» ՍՊԸ, «Էմթիեյ» ՍՊԸ, «Գլոբալ Սերվիսիս Գրուպ» ՍՊԸ, </w:t>
            </w:r>
            <w:r w:rsidR="00DC0FC7" w:rsidRPr="003D54FA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br/>
              <w:t>«Ջերմգազշին» ՍՊԸ կոնսորցիում</w:t>
            </w:r>
            <w:r w:rsidR="00DC0FC7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 xml:space="preserve">ի հայտը մերժվել է և </w:t>
            </w:r>
            <w:r w:rsidR="00365BB5" w:rsidRPr="00365BB5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Հայաստանի Հանրապետության կառավարության 2017 թվականի մայիսի 4-ի N 526-Ն որոշման</w:t>
            </w:r>
            <w:r w:rsidR="00365BB5" w:rsidRPr="00365BB5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 xml:space="preserve"> 42-րդ կետի համաձայն </w:t>
            </w:r>
            <w:r w:rsidR="00365BB5" w:rsidRPr="00365BB5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ընտրված մասնակից է ճանաչվ</w:t>
            </w:r>
            <w:r w:rsidR="00365BB5" w:rsidRPr="00365BB5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ել</w:t>
            </w:r>
            <w:r w:rsidR="00365BB5" w:rsidRPr="00365BB5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 xml:space="preserve"> հաջորդող տեղ զբաղեցրած մասնակիցը:</w:t>
            </w:r>
          </w:p>
        </w:tc>
      </w:tr>
      <w:tr w:rsidR="003D54FA" w:rsidRPr="00DC0FC7" w14:paraId="485BF528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60FF974B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4FA" w:rsidRPr="002668FA" w14:paraId="7DB42300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0AD8E25E" w14:textId="6A15E4C3" w:rsidR="003D54FA" w:rsidRPr="006411FC" w:rsidRDefault="003D54FA" w:rsidP="003D54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3D54FA" w:rsidRPr="006411FC" w:rsidRDefault="003D54FA" w:rsidP="003D54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D54FA" w:rsidRPr="006411FC" w:rsidRDefault="003D54FA" w:rsidP="003D54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D54FA" w:rsidRPr="006411FC" w:rsidRDefault="003D54FA" w:rsidP="003D54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D54FA" w:rsidRPr="006411FC" w:rsidRDefault="003D54FA" w:rsidP="003D54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D54FA" w:rsidRPr="006411FC" w:rsidRDefault="003D54FA" w:rsidP="003D54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D54FA" w:rsidRPr="00FA3BD4" w:rsidRDefault="003D54FA" w:rsidP="003D54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D54FA" w:rsidRPr="00FA3BD4" w:rsidRDefault="003D54FA" w:rsidP="003D54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0A5E8A" w:rsidR="003D54FA" w:rsidRPr="00FA3BD4" w:rsidRDefault="003D54FA" w:rsidP="003D54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E91DBC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e</w:t>
              </w:r>
              <w:r w:rsidRPr="00053012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.</w:t>
              </w:r>
              <w:r w:rsidRPr="00E91DBC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ivanyan</w:t>
              </w:r>
              <w:r w:rsidRPr="00053012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@atdf.am</w:t>
              </w:r>
            </w:hyperlink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D54FA" w:rsidRPr="002668FA" w14:paraId="3CC8B38C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02AFA8BF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4FA" w:rsidRPr="002668FA" w14:paraId="5484FA73" w14:textId="77777777" w:rsidTr="00476FF0">
        <w:trPr>
          <w:trHeight w:val="475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D54FA" w:rsidRPr="006411FC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3D54FA" w:rsidRPr="006411FC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www.procurement.am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3D54FA" w:rsidRPr="002668FA" w14:paraId="5A7FED5D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0C88E286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4FA" w:rsidRPr="006411FC" w14:paraId="40B30E88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D54FA" w:rsidRPr="006411FC" w:rsidRDefault="003D54FA" w:rsidP="003D5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3D54FA" w:rsidRPr="006411FC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3D54FA" w:rsidRPr="006411FC" w14:paraId="541BD7F7" w14:textId="77777777" w:rsidTr="00314158">
        <w:trPr>
          <w:trHeight w:val="288"/>
        </w:trPr>
        <w:tc>
          <w:tcPr>
            <w:tcW w:w="112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4FA" w:rsidRPr="006411FC" w14:paraId="4DE14D25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D54FA" w:rsidRPr="006411FC" w:rsidRDefault="003D54FA" w:rsidP="003D5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3D54FA" w:rsidRPr="006411FC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3D54FA" w:rsidRPr="006411FC" w14:paraId="1DAD5D5C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57597369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4FA" w:rsidRPr="006411FC" w14:paraId="5F667D89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D54FA" w:rsidRPr="006411FC" w:rsidRDefault="003D54FA" w:rsidP="003D5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3D54FA" w:rsidRPr="006411FC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3D54FA" w:rsidRPr="006411FC" w14:paraId="406B68D6" w14:textId="77777777" w:rsidTr="00314158">
        <w:trPr>
          <w:trHeight w:val="288"/>
        </w:trPr>
        <w:tc>
          <w:tcPr>
            <w:tcW w:w="11212" w:type="dxa"/>
            <w:gridSpan w:val="41"/>
            <w:shd w:val="clear" w:color="auto" w:fill="99CCFF"/>
            <w:vAlign w:val="center"/>
          </w:tcPr>
          <w:p w14:paraId="79EAD146" w14:textId="77777777" w:rsidR="003D54FA" w:rsidRPr="006411FC" w:rsidRDefault="003D54FA" w:rsidP="003D5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4FA" w:rsidRPr="006411FC" w14:paraId="1A2BD291" w14:textId="77777777" w:rsidTr="00314158">
        <w:trPr>
          <w:trHeight w:val="227"/>
        </w:trPr>
        <w:tc>
          <w:tcPr>
            <w:tcW w:w="11212" w:type="dxa"/>
            <w:gridSpan w:val="41"/>
            <w:shd w:val="clear" w:color="auto" w:fill="auto"/>
            <w:vAlign w:val="center"/>
          </w:tcPr>
          <w:p w14:paraId="73A19DB3" w14:textId="77777777" w:rsidR="003D54FA" w:rsidRPr="006411FC" w:rsidRDefault="003D54FA" w:rsidP="003D5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D54FA" w:rsidRPr="006411FC" w14:paraId="002AF1AD" w14:textId="77777777" w:rsidTr="00476FF0">
        <w:trPr>
          <w:trHeight w:val="47"/>
        </w:trPr>
        <w:tc>
          <w:tcPr>
            <w:tcW w:w="33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D54FA" w:rsidRPr="006411FC" w:rsidRDefault="003D54FA" w:rsidP="003D5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D54FA" w:rsidRPr="006411FC" w:rsidRDefault="003D54FA" w:rsidP="003D5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D54FA" w:rsidRPr="006411FC" w:rsidRDefault="003D54FA" w:rsidP="003D5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D54FA" w:rsidRPr="0022631D" w14:paraId="6C6C269C" w14:textId="77777777" w:rsidTr="00476FF0">
        <w:trPr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14:paraId="0A862370" w14:textId="4AC6642C" w:rsidR="003D54FA" w:rsidRPr="003157EE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57E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</w:t>
            </w:r>
            <w:r w:rsidRPr="003157EE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3157E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57EE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Նիկոլայան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BC227B5" w:rsidR="003D54FA" w:rsidRPr="00D0525F" w:rsidRDefault="003D54FA" w:rsidP="003D5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052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+374 41 500 760</w:t>
            </w:r>
          </w:p>
        </w:tc>
        <w:tc>
          <w:tcPr>
            <w:tcW w:w="3908" w:type="dxa"/>
            <w:gridSpan w:val="14"/>
            <w:shd w:val="clear" w:color="auto" w:fill="auto"/>
            <w:vAlign w:val="center"/>
          </w:tcPr>
          <w:p w14:paraId="3C42DEDA" w14:textId="319D1C99" w:rsidR="003D54FA" w:rsidRPr="00EF3E39" w:rsidRDefault="003D54FA" w:rsidP="003D54F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 w:bidi="ru-RU"/>
              </w:rPr>
            </w:pPr>
            <w:hyperlink r:id="rId10" w:history="1">
              <w:r w:rsidRPr="00BA65EC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 w:bidi="ru-RU"/>
                </w:rPr>
                <w:t>a.nikolayan@atdf.am</w:t>
              </w:r>
            </w:hyperlink>
          </w:p>
        </w:tc>
      </w:tr>
    </w:tbl>
    <w:p w14:paraId="67219CBB" w14:textId="77777777" w:rsidR="00E441B4" w:rsidRDefault="00E441B4" w:rsidP="00E441B4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="Times New Roman" w:hAnsi="GHEA Grapalat"/>
          <w:sz w:val="18"/>
          <w:szCs w:val="18"/>
          <w:lang w:val="hy-AM" w:eastAsia="ru-RU"/>
        </w:rPr>
      </w:pPr>
    </w:p>
    <w:p w14:paraId="28C0BCA5" w14:textId="08CE852D" w:rsidR="00E455EC" w:rsidRPr="001A1999" w:rsidRDefault="00E441B4" w:rsidP="00E441B4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CA53C2">
        <w:rPr>
          <w:rFonts w:ascii="GHEA Grapalat" w:eastAsia="Times New Roman" w:hAnsi="GHEA Grapalat"/>
          <w:sz w:val="18"/>
          <w:szCs w:val="18"/>
          <w:lang w:eastAsia="ru-RU"/>
        </w:rPr>
        <w:t xml:space="preserve"> </w:t>
      </w:r>
    </w:p>
    <w:sectPr w:rsidR="00E455EC" w:rsidRPr="001A1999" w:rsidSect="004D6691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2306A0" w:rsidRDefault="002306A0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2306A0" w:rsidRDefault="002306A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2306A0" w:rsidRDefault="002306A0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2306A0" w:rsidRDefault="002306A0" w:rsidP="0022631D">
      <w:pPr>
        <w:spacing w:before="0" w:after="0"/>
      </w:pPr>
      <w:r>
        <w:continuationSeparator/>
      </w:r>
    </w:p>
  </w:footnote>
  <w:footnote w:id="1">
    <w:p w14:paraId="73E33F31" w14:textId="77777777" w:rsidR="002306A0" w:rsidRPr="00541A77" w:rsidRDefault="002306A0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306A0" w:rsidRPr="002D0BF6" w:rsidRDefault="002306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306A0" w:rsidRPr="002D0BF6" w:rsidRDefault="002306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A4B04" w:rsidRPr="002D0BF6" w:rsidRDefault="00AA4B0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A4B04" w:rsidRPr="002D0BF6" w:rsidRDefault="00AA4B0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D54FA" w:rsidRPr="00871366" w:rsidRDefault="003D54F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D54FA" w:rsidRPr="002D0BF6" w:rsidRDefault="003D54F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D54FA" w:rsidRPr="0078682E" w:rsidRDefault="003D54F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D54FA" w:rsidRPr="0078682E" w:rsidRDefault="003D54FA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D54FA" w:rsidRPr="00005B9C" w:rsidRDefault="003D54FA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31A2E"/>
    <w:rsid w:val="00037A60"/>
    <w:rsid w:val="00041EEE"/>
    <w:rsid w:val="00044EA8"/>
    <w:rsid w:val="00046CCF"/>
    <w:rsid w:val="00051ECE"/>
    <w:rsid w:val="0005428E"/>
    <w:rsid w:val="000565C1"/>
    <w:rsid w:val="0006436D"/>
    <w:rsid w:val="0007090E"/>
    <w:rsid w:val="00073907"/>
    <w:rsid w:val="00073D66"/>
    <w:rsid w:val="00075567"/>
    <w:rsid w:val="0008136E"/>
    <w:rsid w:val="000A144D"/>
    <w:rsid w:val="000B0199"/>
    <w:rsid w:val="000B4D63"/>
    <w:rsid w:val="000B6506"/>
    <w:rsid w:val="000E4FF1"/>
    <w:rsid w:val="000E5733"/>
    <w:rsid w:val="000F376D"/>
    <w:rsid w:val="001000DC"/>
    <w:rsid w:val="001021B0"/>
    <w:rsid w:val="00120F0A"/>
    <w:rsid w:val="0013599A"/>
    <w:rsid w:val="00137230"/>
    <w:rsid w:val="001409B6"/>
    <w:rsid w:val="00147CE3"/>
    <w:rsid w:val="0015182A"/>
    <w:rsid w:val="0015619B"/>
    <w:rsid w:val="00161315"/>
    <w:rsid w:val="0016754D"/>
    <w:rsid w:val="0018422F"/>
    <w:rsid w:val="001A1999"/>
    <w:rsid w:val="001B0590"/>
    <w:rsid w:val="001B5D66"/>
    <w:rsid w:val="001C1BE1"/>
    <w:rsid w:val="001C4E6D"/>
    <w:rsid w:val="001E0091"/>
    <w:rsid w:val="001F690B"/>
    <w:rsid w:val="001F72EF"/>
    <w:rsid w:val="002004AC"/>
    <w:rsid w:val="00202A91"/>
    <w:rsid w:val="00210028"/>
    <w:rsid w:val="0022002D"/>
    <w:rsid w:val="00220791"/>
    <w:rsid w:val="0022631D"/>
    <w:rsid w:val="002306A0"/>
    <w:rsid w:val="00231219"/>
    <w:rsid w:val="00247C78"/>
    <w:rsid w:val="00265F48"/>
    <w:rsid w:val="002668FA"/>
    <w:rsid w:val="00280255"/>
    <w:rsid w:val="002941A5"/>
    <w:rsid w:val="00295B92"/>
    <w:rsid w:val="002A0658"/>
    <w:rsid w:val="002C08AD"/>
    <w:rsid w:val="002C5353"/>
    <w:rsid w:val="002E4E6F"/>
    <w:rsid w:val="002F16CC"/>
    <w:rsid w:val="002F1FEB"/>
    <w:rsid w:val="00312ABE"/>
    <w:rsid w:val="00314158"/>
    <w:rsid w:val="003157EE"/>
    <w:rsid w:val="0032435C"/>
    <w:rsid w:val="00333A54"/>
    <w:rsid w:val="00353D02"/>
    <w:rsid w:val="00365BB5"/>
    <w:rsid w:val="00365E88"/>
    <w:rsid w:val="00366DF5"/>
    <w:rsid w:val="00371B1D"/>
    <w:rsid w:val="0039138B"/>
    <w:rsid w:val="0039308C"/>
    <w:rsid w:val="003942E4"/>
    <w:rsid w:val="003A0A24"/>
    <w:rsid w:val="003A38CA"/>
    <w:rsid w:val="003B21A2"/>
    <w:rsid w:val="003B2758"/>
    <w:rsid w:val="003B745E"/>
    <w:rsid w:val="003D1545"/>
    <w:rsid w:val="003D54FA"/>
    <w:rsid w:val="003E3D40"/>
    <w:rsid w:val="003E6978"/>
    <w:rsid w:val="003E6AF0"/>
    <w:rsid w:val="003F06E6"/>
    <w:rsid w:val="003F0FFC"/>
    <w:rsid w:val="003F71A5"/>
    <w:rsid w:val="00403E14"/>
    <w:rsid w:val="00433E3C"/>
    <w:rsid w:val="00462D86"/>
    <w:rsid w:val="00472069"/>
    <w:rsid w:val="00474C2F"/>
    <w:rsid w:val="004764CD"/>
    <w:rsid w:val="00476FF0"/>
    <w:rsid w:val="00481F5F"/>
    <w:rsid w:val="004875E0"/>
    <w:rsid w:val="004B01FD"/>
    <w:rsid w:val="004D078F"/>
    <w:rsid w:val="004D6691"/>
    <w:rsid w:val="004D6AF3"/>
    <w:rsid w:val="004D797C"/>
    <w:rsid w:val="004E376E"/>
    <w:rsid w:val="004E3FDF"/>
    <w:rsid w:val="004E5796"/>
    <w:rsid w:val="004E7EEE"/>
    <w:rsid w:val="00503BCC"/>
    <w:rsid w:val="00504892"/>
    <w:rsid w:val="00523E6F"/>
    <w:rsid w:val="0053782F"/>
    <w:rsid w:val="00546023"/>
    <w:rsid w:val="00572C35"/>
    <w:rsid w:val="005737F9"/>
    <w:rsid w:val="00575818"/>
    <w:rsid w:val="00590250"/>
    <w:rsid w:val="00590251"/>
    <w:rsid w:val="00590929"/>
    <w:rsid w:val="0059704E"/>
    <w:rsid w:val="005A4693"/>
    <w:rsid w:val="005B2319"/>
    <w:rsid w:val="005B3BB0"/>
    <w:rsid w:val="005C08DB"/>
    <w:rsid w:val="005C64F2"/>
    <w:rsid w:val="005D0D2A"/>
    <w:rsid w:val="005D1177"/>
    <w:rsid w:val="005D5FBD"/>
    <w:rsid w:val="00607C9A"/>
    <w:rsid w:val="00614677"/>
    <w:rsid w:val="00632A0B"/>
    <w:rsid w:val="006411FC"/>
    <w:rsid w:val="00643E60"/>
    <w:rsid w:val="006459B1"/>
    <w:rsid w:val="00646760"/>
    <w:rsid w:val="0065366C"/>
    <w:rsid w:val="00656779"/>
    <w:rsid w:val="00660580"/>
    <w:rsid w:val="00661D27"/>
    <w:rsid w:val="00663753"/>
    <w:rsid w:val="006656FC"/>
    <w:rsid w:val="006817DC"/>
    <w:rsid w:val="00690ECB"/>
    <w:rsid w:val="006A38B4"/>
    <w:rsid w:val="006B2E21"/>
    <w:rsid w:val="006C0266"/>
    <w:rsid w:val="006D148A"/>
    <w:rsid w:val="006D7746"/>
    <w:rsid w:val="006E0D92"/>
    <w:rsid w:val="006E1A83"/>
    <w:rsid w:val="006F1856"/>
    <w:rsid w:val="006F2779"/>
    <w:rsid w:val="007060FC"/>
    <w:rsid w:val="007207DB"/>
    <w:rsid w:val="007340B7"/>
    <w:rsid w:val="00740CB8"/>
    <w:rsid w:val="007417B6"/>
    <w:rsid w:val="0075455E"/>
    <w:rsid w:val="007626D8"/>
    <w:rsid w:val="00762CA1"/>
    <w:rsid w:val="00765B2E"/>
    <w:rsid w:val="00770350"/>
    <w:rsid w:val="007732E7"/>
    <w:rsid w:val="0078682E"/>
    <w:rsid w:val="00793F76"/>
    <w:rsid w:val="007A2B7A"/>
    <w:rsid w:val="007D331F"/>
    <w:rsid w:val="007D42ED"/>
    <w:rsid w:val="007D6BFF"/>
    <w:rsid w:val="0081420B"/>
    <w:rsid w:val="00831E9F"/>
    <w:rsid w:val="0085133E"/>
    <w:rsid w:val="00852470"/>
    <w:rsid w:val="00861F07"/>
    <w:rsid w:val="008751B7"/>
    <w:rsid w:val="008A5E70"/>
    <w:rsid w:val="008B1332"/>
    <w:rsid w:val="008C256B"/>
    <w:rsid w:val="008C3D31"/>
    <w:rsid w:val="008C4684"/>
    <w:rsid w:val="008C4E62"/>
    <w:rsid w:val="008E1F36"/>
    <w:rsid w:val="008E302C"/>
    <w:rsid w:val="008E42D5"/>
    <w:rsid w:val="008E493A"/>
    <w:rsid w:val="008F39F4"/>
    <w:rsid w:val="008F3C6D"/>
    <w:rsid w:val="00905571"/>
    <w:rsid w:val="00914934"/>
    <w:rsid w:val="00925E0A"/>
    <w:rsid w:val="00926711"/>
    <w:rsid w:val="00934603"/>
    <w:rsid w:val="00942199"/>
    <w:rsid w:val="009447B4"/>
    <w:rsid w:val="009516C4"/>
    <w:rsid w:val="00966986"/>
    <w:rsid w:val="00971CAA"/>
    <w:rsid w:val="00971E4D"/>
    <w:rsid w:val="009758BF"/>
    <w:rsid w:val="009808B3"/>
    <w:rsid w:val="00987A8E"/>
    <w:rsid w:val="009A0401"/>
    <w:rsid w:val="009C5E0F"/>
    <w:rsid w:val="009D591F"/>
    <w:rsid w:val="009D69ED"/>
    <w:rsid w:val="009D71C4"/>
    <w:rsid w:val="009E3385"/>
    <w:rsid w:val="009E75FF"/>
    <w:rsid w:val="009F42FD"/>
    <w:rsid w:val="00A01EBD"/>
    <w:rsid w:val="00A16C55"/>
    <w:rsid w:val="00A27E6E"/>
    <w:rsid w:val="00A306F5"/>
    <w:rsid w:val="00A31820"/>
    <w:rsid w:val="00A34473"/>
    <w:rsid w:val="00A34B7B"/>
    <w:rsid w:val="00A4041F"/>
    <w:rsid w:val="00A432FC"/>
    <w:rsid w:val="00A449CF"/>
    <w:rsid w:val="00A500C8"/>
    <w:rsid w:val="00A5651C"/>
    <w:rsid w:val="00A6172C"/>
    <w:rsid w:val="00A649A9"/>
    <w:rsid w:val="00A75482"/>
    <w:rsid w:val="00A820D2"/>
    <w:rsid w:val="00A82EE6"/>
    <w:rsid w:val="00A92BA5"/>
    <w:rsid w:val="00A94EA2"/>
    <w:rsid w:val="00A9565D"/>
    <w:rsid w:val="00AA0E38"/>
    <w:rsid w:val="00AA139E"/>
    <w:rsid w:val="00AA32E4"/>
    <w:rsid w:val="00AA4B04"/>
    <w:rsid w:val="00AA7919"/>
    <w:rsid w:val="00AB28AF"/>
    <w:rsid w:val="00AB44D0"/>
    <w:rsid w:val="00AB63BF"/>
    <w:rsid w:val="00AC1FFA"/>
    <w:rsid w:val="00AC35A8"/>
    <w:rsid w:val="00AC4B3A"/>
    <w:rsid w:val="00AC5520"/>
    <w:rsid w:val="00AD07B9"/>
    <w:rsid w:val="00AD2BCA"/>
    <w:rsid w:val="00AD59DC"/>
    <w:rsid w:val="00AF19C0"/>
    <w:rsid w:val="00B042FC"/>
    <w:rsid w:val="00B06948"/>
    <w:rsid w:val="00B12BDE"/>
    <w:rsid w:val="00B26981"/>
    <w:rsid w:val="00B3412C"/>
    <w:rsid w:val="00B3461A"/>
    <w:rsid w:val="00B40CC6"/>
    <w:rsid w:val="00B652F2"/>
    <w:rsid w:val="00B72C06"/>
    <w:rsid w:val="00B75762"/>
    <w:rsid w:val="00B83A34"/>
    <w:rsid w:val="00B91DE2"/>
    <w:rsid w:val="00B94EA2"/>
    <w:rsid w:val="00BA03B0"/>
    <w:rsid w:val="00BB0A93"/>
    <w:rsid w:val="00BD2083"/>
    <w:rsid w:val="00BD3D4E"/>
    <w:rsid w:val="00BE2E37"/>
    <w:rsid w:val="00BF1465"/>
    <w:rsid w:val="00BF4745"/>
    <w:rsid w:val="00C530A4"/>
    <w:rsid w:val="00C5310A"/>
    <w:rsid w:val="00C61AD4"/>
    <w:rsid w:val="00C66CDB"/>
    <w:rsid w:val="00C84DF7"/>
    <w:rsid w:val="00C90468"/>
    <w:rsid w:val="00C958A4"/>
    <w:rsid w:val="00C96337"/>
    <w:rsid w:val="00C96BED"/>
    <w:rsid w:val="00CA6E21"/>
    <w:rsid w:val="00CB44D2"/>
    <w:rsid w:val="00CB5EB3"/>
    <w:rsid w:val="00CC1F23"/>
    <w:rsid w:val="00CC58C5"/>
    <w:rsid w:val="00CD41AB"/>
    <w:rsid w:val="00CD5999"/>
    <w:rsid w:val="00CF01B8"/>
    <w:rsid w:val="00CF1F70"/>
    <w:rsid w:val="00D02701"/>
    <w:rsid w:val="00D0525F"/>
    <w:rsid w:val="00D22BD8"/>
    <w:rsid w:val="00D269CE"/>
    <w:rsid w:val="00D27B33"/>
    <w:rsid w:val="00D27D29"/>
    <w:rsid w:val="00D34CAF"/>
    <w:rsid w:val="00D350DE"/>
    <w:rsid w:val="00D36189"/>
    <w:rsid w:val="00D628B5"/>
    <w:rsid w:val="00D76BDC"/>
    <w:rsid w:val="00D806F4"/>
    <w:rsid w:val="00D80C64"/>
    <w:rsid w:val="00D81565"/>
    <w:rsid w:val="00DA4468"/>
    <w:rsid w:val="00DA74E7"/>
    <w:rsid w:val="00DB1067"/>
    <w:rsid w:val="00DB6FCE"/>
    <w:rsid w:val="00DC0FC7"/>
    <w:rsid w:val="00DE06F1"/>
    <w:rsid w:val="00DE36D1"/>
    <w:rsid w:val="00E053B9"/>
    <w:rsid w:val="00E07704"/>
    <w:rsid w:val="00E10243"/>
    <w:rsid w:val="00E1713D"/>
    <w:rsid w:val="00E243EA"/>
    <w:rsid w:val="00E33A25"/>
    <w:rsid w:val="00E372F2"/>
    <w:rsid w:val="00E41791"/>
    <w:rsid w:val="00E4188B"/>
    <w:rsid w:val="00E42A31"/>
    <w:rsid w:val="00E441B4"/>
    <w:rsid w:val="00E455EC"/>
    <w:rsid w:val="00E54C4D"/>
    <w:rsid w:val="00E56328"/>
    <w:rsid w:val="00E80A15"/>
    <w:rsid w:val="00E91DBC"/>
    <w:rsid w:val="00E93D00"/>
    <w:rsid w:val="00EA01A2"/>
    <w:rsid w:val="00EA568C"/>
    <w:rsid w:val="00EA767F"/>
    <w:rsid w:val="00EB59EE"/>
    <w:rsid w:val="00EC5D57"/>
    <w:rsid w:val="00EC5FE7"/>
    <w:rsid w:val="00ED550C"/>
    <w:rsid w:val="00EE7FF2"/>
    <w:rsid w:val="00EF16D0"/>
    <w:rsid w:val="00EF3E39"/>
    <w:rsid w:val="00EF6E3E"/>
    <w:rsid w:val="00F10AFE"/>
    <w:rsid w:val="00F31004"/>
    <w:rsid w:val="00F343D6"/>
    <w:rsid w:val="00F41CBA"/>
    <w:rsid w:val="00F50750"/>
    <w:rsid w:val="00F52BCF"/>
    <w:rsid w:val="00F64167"/>
    <w:rsid w:val="00F6673B"/>
    <w:rsid w:val="00F77AAD"/>
    <w:rsid w:val="00F82D1D"/>
    <w:rsid w:val="00F916C4"/>
    <w:rsid w:val="00F939B0"/>
    <w:rsid w:val="00FA3BD4"/>
    <w:rsid w:val="00FB097B"/>
    <w:rsid w:val="00FB2C39"/>
    <w:rsid w:val="00FC097A"/>
    <w:rsid w:val="00FC3D33"/>
    <w:rsid w:val="00FD04A3"/>
    <w:rsid w:val="00FD5455"/>
    <w:rsid w:val="00FE0FD2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3F28E243"/>
  <w15:docId w15:val="{FB78DB81-0915-4ADE-B2AA-D9F5F3EE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25F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2C535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sh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nikolayan@atdf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ivan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C93D-D38A-4DE5-A687-E86D8E56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Alisa Nikolayan</cp:lastModifiedBy>
  <cp:revision>9</cp:revision>
  <cp:lastPrinted>2025-04-03T06:14:00Z</cp:lastPrinted>
  <dcterms:created xsi:type="dcterms:W3CDTF">2026-03-13T07:54:00Z</dcterms:created>
  <dcterms:modified xsi:type="dcterms:W3CDTF">2026-06-08T10:35:00Z</dcterms:modified>
</cp:coreProperties>
</file>