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D17CB0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D17CB0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D17CB0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D17CB0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D17CB0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A01FCE" w:rsidRPr="00D17CB0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Ա 4461960893</w:t>
      </w:r>
      <w:r w:rsidR="00DA3A8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D17CB0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D17CB0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A01FCE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թղթյա տոպրակների</w:t>
      </w:r>
      <w:r w:rsidR="002F3B0E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8524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A01FCE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 4461960893</w:t>
      </w:r>
      <w:r w:rsidR="00707602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D17CB0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D17CB0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F93855" w:rsidRPr="00D17CB0" w:rsidTr="00ED17D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D17CB0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2F3B0E" w:rsidP="00A01FCE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D17CB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A01FCE" w:rsidRPr="00D17CB0">
              <w:rPr>
                <w:rFonts w:ascii="GHEA Grapalat" w:hAnsi="GHEA Grapalat" w:cs="Sylfaen"/>
                <w:sz w:val="20"/>
                <w:szCs w:val="20"/>
                <w:lang w:val="en-US"/>
              </w:rPr>
              <w:t>ՏՈՆԷՔՍ</w:t>
            </w:r>
            <w:r w:rsidRPr="00D17CB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D17CB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D17CB0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D17CB0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A01FCE" w:rsidRPr="00D17CB0">
        <w:rPr>
          <w:rFonts w:ascii="GHEA Grapalat" w:eastAsiaTheme="minorHAnsi" w:hAnsi="GHEA Grapalat" w:cs="Sylfaen"/>
          <w:lang w:val="ru-RU"/>
        </w:rPr>
        <w:t>Թղթյա</w:t>
      </w:r>
      <w:r w:rsidR="00A01FCE" w:rsidRPr="00D17CB0">
        <w:rPr>
          <w:rFonts w:ascii="GHEA Grapalat" w:eastAsiaTheme="minorHAnsi" w:hAnsi="GHEA Grapalat" w:cs="SylfaenARM"/>
          <w:lang w:val="af-ZA"/>
        </w:rPr>
        <w:t xml:space="preserve"> </w:t>
      </w:r>
      <w:r w:rsidR="00A01FCE" w:rsidRPr="00D17CB0">
        <w:rPr>
          <w:rFonts w:ascii="GHEA Grapalat" w:eastAsiaTheme="minorHAnsi" w:hAnsi="GHEA Grapalat" w:cs="Sylfaen"/>
          <w:lang w:val="ru-RU"/>
        </w:rPr>
        <w:t>տոպրակներ</w:t>
      </w:r>
      <w:r w:rsidR="00A01FCE" w:rsidRPr="00D17CB0">
        <w:rPr>
          <w:rFonts w:ascii="GHEA Grapalat" w:eastAsiaTheme="minorHAnsi" w:hAnsi="GHEA Grapalat" w:cs="SylfaenARM"/>
          <w:lang w:val="af-ZA"/>
        </w:rPr>
        <w:t xml:space="preserve"> </w:t>
      </w:r>
      <w:r w:rsidR="00A01FCE" w:rsidRPr="00D17CB0">
        <w:rPr>
          <w:rFonts w:ascii="GHEA Grapalat" w:eastAsiaTheme="minorHAnsi" w:hAnsi="GHEA Grapalat" w:cs="Sylfaen"/>
          <w:lang w:val="ru-RU"/>
        </w:rPr>
        <w:t>նախատեսված</w:t>
      </w:r>
      <w:r w:rsidR="00A01FCE" w:rsidRPr="00D17CB0">
        <w:rPr>
          <w:rFonts w:ascii="GHEA Grapalat" w:eastAsiaTheme="minorHAnsi" w:hAnsi="GHEA Grapalat" w:cs="SylfaenARM"/>
          <w:lang w:val="af-ZA"/>
        </w:rPr>
        <w:t xml:space="preserve"> </w:t>
      </w:r>
      <w:r w:rsidR="00A01FCE" w:rsidRPr="00D17CB0">
        <w:rPr>
          <w:rFonts w:ascii="GHEA Grapalat" w:eastAsiaTheme="minorHAnsi" w:hAnsi="GHEA Grapalat" w:cs="Sylfaen"/>
          <w:lang w:val="ru-RU"/>
        </w:rPr>
        <w:t>սերմերի</w:t>
      </w:r>
      <w:r w:rsidR="00A01FCE" w:rsidRPr="00D17CB0">
        <w:rPr>
          <w:rFonts w:ascii="GHEA Grapalat" w:eastAsiaTheme="minorHAnsi" w:hAnsi="GHEA Grapalat" w:cs="Sylfaen"/>
          <w:lang w:val="af-ZA"/>
        </w:rPr>
        <w:t xml:space="preserve"> </w:t>
      </w:r>
      <w:r w:rsidR="00A01FCE" w:rsidRPr="00D17CB0">
        <w:rPr>
          <w:rFonts w:ascii="GHEA Grapalat" w:eastAsiaTheme="minorHAnsi" w:hAnsi="GHEA Grapalat" w:cs="Sylfaen"/>
          <w:lang w:val="ru-RU"/>
        </w:rPr>
        <w:t>պահպանման</w:t>
      </w:r>
      <w:r w:rsidR="00A01FCE" w:rsidRPr="00D17CB0">
        <w:rPr>
          <w:rFonts w:ascii="GHEA Grapalat" w:eastAsiaTheme="minorHAnsi" w:hAnsi="GHEA Grapalat" w:cs="SylfaenARM"/>
          <w:lang w:val="af-ZA"/>
        </w:rPr>
        <w:t xml:space="preserve"> </w:t>
      </w:r>
      <w:r w:rsidR="00A01FCE" w:rsidRPr="00D17CB0">
        <w:rPr>
          <w:rFonts w:ascii="GHEA Grapalat" w:eastAsiaTheme="minorHAnsi" w:hAnsi="GHEA Grapalat" w:cs="Sylfaen"/>
          <w:lang w:val="ru-RU"/>
        </w:rPr>
        <w:t>համար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D17CB0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Pr="00D17CB0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RPr="00D17CB0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2F3B0E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A01FCE" w:rsidRPr="00D17CB0">
              <w:rPr>
                <w:rFonts w:ascii="GHEA Grapalat" w:hAnsi="GHEA Grapalat" w:cs="Sylfaen"/>
                <w:sz w:val="20"/>
                <w:szCs w:val="20"/>
              </w:rPr>
              <w:t>ՏՈՆԷՔՍ</w:t>
            </w:r>
            <w:r w:rsidRPr="00D17CB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D17CB0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D17CB0" w:rsidRDefault="00A01FCE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D17CB0">
              <w:rPr>
                <w:rFonts w:ascii="GHEA Grapalat" w:hAnsi="GHEA Grapalat"/>
                <w:sz w:val="18"/>
                <w:szCs w:val="18"/>
                <w:lang w:val="ru-RU"/>
              </w:rPr>
              <w:t>29166.7</w:t>
            </w:r>
          </w:p>
        </w:tc>
      </w:tr>
    </w:tbl>
    <w:p w:rsidR="00FD19A6" w:rsidRPr="00D17CB0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D17CB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D17CB0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A01FCE" w:rsidRPr="00D17CB0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Ա 4461960893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» ծածկագրով գնման ընթացակարգի 1 </w:t>
      </w:r>
      <w:r w:rsidR="00560271"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– </w:t>
      </w:r>
      <w:r w:rsidR="00C54EE6" w:rsidRPr="00D17CB0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 չափաբաժն</w:t>
      </w:r>
      <w:r w:rsidR="00560271" w:rsidRPr="00D17CB0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 մասով ընտրված մասնակից է ճանաչվում </w:t>
      </w:r>
      <w:r w:rsidR="002F3B0E" w:rsidRPr="00D17CB0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A01FCE" w:rsidRPr="00D17CB0">
        <w:rPr>
          <w:rFonts w:ascii="GHEA Grapalat" w:eastAsia="Sylfaen" w:hAnsi="GHEA Grapalat" w:cs="Sylfaen"/>
          <w:sz w:val="20"/>
          <w:szCs w:val="20"/>
          <w:u w:color="000000"/>
        </w:rPr>
        <w:t>ՏՈՆԷՔՍ</w:t>
      </w:r>
      <w:r w:rsidR="002F3B0E" w:rsidRPr="00D17CB0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</w:t>
      </w:r>
      <w:r w:rsidR="002F3B0E" w:rsidRPr="00D17CB0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ՍՊԸ</w:t>
      </w:r>
      <w:r w:rsidR="002F3B0E" w:rsidRPr="00D17CB0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D17CB0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</w:rPr>
        <w:t>Գնումների մասին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ՀՀ օրենքի 10-րդ հոդվածի համաձայն` </w:t>
      </w:r>
      <w:r w:rsidR="00B81B35" w:rsidRPr="00D17CB0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D17CB0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D17CB0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D17CB0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չի </w:t>
      </w:r>
      <w:r w:rsidR="00B81B35" w:rsidRPr="00D17CB0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D17CB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A01FCE" w:rsidRPr="00D17CB0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Ա 4461960893</w:t>
      </w:r>
      <w:r w:rsidR="00E06AA5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451B69" w:rsidRPr="00D17CB0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D17CB0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AF7E7F"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 Մա</w:t>
      </w:r>
      <w:r w:rsidR="007274B1" w:rsidRPr="00D17CB0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D17CB0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D17CB0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7274B1"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 «Աութսորս» ՍՊԸ-ի ներկայացուցիչ</w:t>
      </w: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D17CB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D17CB0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D17CB0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D17CB0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D17CB0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D17CB0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D17CB0">
        <w:rPr>
          <w:rFonts w:ascii="GHEA Grapalat" w:eastAsia="Sylfaen" w:hAnsi="GHEA Grapalat" w:cs="Sylfaen"/>
          <w:sz w:val="20"/>
          <w:szCs w:val="20"/>
          <w:u w:color="000000"/>
        </w:rPr>
        <w:tab/>
      </w:r>
      <w:r w:rsidRPr="00D17CB0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r w:rsidR="00571E84" w:rsidRPr="00D17CB0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D17CB0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D17CB0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D17CB0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64" w:rsidRDefault="00F05D64" w:rsidP="004D58E5">
      <w:r>
        <w:separator/>
      </w:r>
    </w:p>
  </w:endnote>
  <w:endnote w:type="continuationSeparator" w:id="1">
    <w:p w:rsidR="00F05D64" w:rsidRDefault="00F05D6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64" w:rsidRDefault="00F05D64" w:rsidP="004D58E5">
      <w:r>
        <w:separator/>
      </w:r>
    </w:p>
  </w:footnote>
  <w:footnote w:type="continuationSeparator" w:id="1">
    <w:p w:rsidR="00F05D64" w:rsidRDefault="00F05D6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AE3"/>
    <w:rsid w:val="000211F4"/>
    <w:rsid w:val="00033A7D"/>
    <w:rsid w:val="00064064"/>
    <w:rsid w:val="00065D47"/>
    <w:rsid w:val="00083A55"/>
    <w:rsid w:val="000B5604"/>
    <w:rsid w:val="00103783"/>
    <w:rsid w:val="00114ADD"/>
    <w:rsid w:val="00174955"/>
    <w:rsid w:val="00181233"/>
    <w:rsid w:val="001E3046"/>
    <w:rsid w:val="001F3CA8"/>
    <w:rsid w:val="00250706"/>
    <w:rsid w:val="002678DC"/>
    <w:rsid w:val="00284719"/>
    <w:rsid w:val="002B5723"/>
    <w:rsid w:val="002D02A5"/>
    <w:rsid w:val="002D5F22"/>
    <w:rsid w:val="002F3B0E"/>
    <w:rsid w:val="00336437"/>
    <w:rsid w:val="00353F0F"/>
    <w:rsid w:val="00376D2D"/>
    <w:rsid w:val="003E0F7E"/>
    <w:rsid w:val="003F1C1B"/>
    <w:rsid w:val="00451B69"/>
    <w:rsid w:val="004657F8"/>
    <w:rsid w:val="0047576F"/>
    <w:rsid w:val="00475955"/>
    <w:rsid w:val="00476CB5"/>
    <w:rsid w:val="004D58E5"/>
    <w:rsid w:val="00500F97"/>
    <w:rsid w:val="005505F9"/>
    <w:rsid w:val="0055194C"/>
    <w:rsid w:val="00560271"/>
    <w:rsid w:val="005626A1"/>
    <w:rsid w:val="00571E84"/>
    <w:rsid w:val="00591123"/>
    <w:rsid w:val="005A563B"/>
    <w:rsid w:val="005D0EBC"/>
    <w:rsid w:val="00636EFA"/>
    <w:rsid w:val="00636FDC"/>
    <w:rsid w:val="0065239E"/>
    <w:rsid w:val="00656652"/>
    <w:rsid w:val="006645FD"/>
    <w:rsid w:val="00670D72"/>
    <w:rsid w:val="00692932"/>
    <w:rsid w:val="007047A5"/>
    <w:rsid w:val="00707602"/>
    <w:rsid w:val="007274B1"/>
    <w:rsid w:val="00733EE5"/>
    <w:rsid w:val="007459B6"/>
    <w:rsid w:val="007622B2"/>
    <w:rsid w:val="00785245"/>
    <w:rsid w:val="007D3FA9"/>
    <w:rsid w:val="00803C1A"/>
    <w:rsid w:val="00870BB4"/>
    <w:rsid w:val="00902306"/>
    <w:rsid w:val="00924548"/>
    <w:rsid w:val="00933171"/>
    <w:rsid w:val="00974C15"/>
    <w:rsid w:val="009C56F5"/>
    <w:rsid w:val="009E6D79"/>
    <w:rsid w:val="009E72C1"/>
    <w:rsid w:val="009F4DBD"/>
    <w:rsid w:val="009F778C"/>
    <w:rsid w:val="009F7DD5"/>
    <w:rsid w:val="00A01FCE"/>
    <w:rsid w:val="00A10D58"/>
    <w:rsid w:val="00A15FD4"/>
    <w:rsid w:val="00A70BA1"/>
    <w:rsid w:val="00A9549F"/>
    <w:rsid w:val="00AC7451"/>
    <w:rsid w:val="00AE300D"/>
    <w:rsid w:val="00AF7E7F"/>
    <w:rsid w:val="00B2589A"/>
    <w:rsid w:val="00B81B35"/>
    <w:rsid w:val="00B936B6"/>
    <w:rsid w:val="00B95490"/>
    <w:rsid w:val="00BA1C1C"/>
    <w:rsid w:val="00BB58EB"/>
    <w:rsid w:val="00BC0EB9"/>
    <w:rsid w:val="00BD4D8F"/>
    <w:rsid w:val="00C02D32"/>
    <w:rsid w:val="00C1587F"/>
    <w:rsid w:val="00C41886"/>
    <w:rsid w:val="00C54EE6"/>
    <w:rsid w:val="00C61B1B"/>
    <w:rsid w:val="00C81259"/>
    <w:rsid w:val="00C97A3B"/>
    <w:rsid w:val="00D055D6"/>
    <w:rsid w:val="00D17CB0"/>
    <w:rsid w:val="00D26118"/>
    <w:rsid w:val="00D93CB7"/>
    <w:rsid w:val="00D94415"/>
    <w:rsid w:val="00DA3A85"/>
    <w:rsid w:val="00DB7E53"/>
    <w:rsid w:val="00DC1F10"/>
    <w:rsid w:val="00DC674B"/>
    <w:rsid w:val="00DD53FD"/>
    <w:rsid w:val="00E01763"/>
    <w:rsid w:val="00E06AA5"/>
    <w:rsid w:val="00E10EAE"/>
    <w:rsid w:val="00E41ED5"/>
    <w:rsid w:val="00E547ED"/>
    <w:rsid w:val="00E65E38"/>
    <w:rsid w:val="00E81F6C"/>
    <w:rsid w:val="00E95676"/>
    <w:rsid w:val="00ED17DE"/>
    <w:rsid w:val="00F05D64"/>
    <w:rsid w:val="00F17E87"/>
    <w:rsid w:val="00F55138"/>
    <w:rsid w:val="00F93855"/>
    <w:rsid w:val="00FD1934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43</cp:revision>
  <dcterms:created xsi:type="dcterms:W3CDTF">2018-11-06T06:49:00Z</dcterms:created>
  <dcterms:modified xsi:type="dcterms:W3CDTF">2020-07-14T09:44:00Z</dcterms:modified>
</cp:coreProperties>
</file>