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07756D8" w:rsidR="0022631D" w:rsidRPr="0068655E" w:rsidRDefault="008334A5" w:rsidP="008334A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68655E">
        <w:rPr>
          <w:rFonts w:ascii="GHEA Grapalat" w:hAnsi="GHEA Grapalat"/>
          <w:sz w:val="18"/>
          <w:szCs w:val="18"/>
          <w:lang w:val="af-ZA"/>
        </w:rPr>
        <w:t>«Բարձրավոլտ Էլեկտրացանցեր» ՓԲԸ-ն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</w:t>
      </w:r>
      <w:r w:rsidRPr="0068655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է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>ք. Երևան Զ. Անդրանիկի փող. 1 հասցեում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ստորև ներկայացնում է իր կարիքների համար </w:t>
      </w:r>
      <w:r w:rsidR="00750836" w:rsidRPr="00750836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տեխնիկական աջակցության և վերահսկման խորհրդատուի ծառայությունների</w:t>
      </w:r>
      <w:r w:rsidR="00750836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6D7C43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750836" w:rsidRPr="00750836">
        <w:rPr>
          <w:rFonts w:ascii="GHEA Grapalat" w:eastAsia="Times New Roman" w:hAnsi="GHEA Grapalat" w:cs="Sylfaen"/>
          <w:sz w:val="18"/>
          <w:szCs w:val="18"/>
          <w:lang w:val="af-ZA" w:eastAsia="ru-RU"/>
        </w:rPr>
        <w:t>ԲԷՑ-ՆԸ-ԲՄԽԾՁԲ-25/04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3"/>
        <w:gridCol w:w="946"/>
        <w:gridCol w:w="142"/>
        <w:gridCol w:w="284"/>
        <w:gridCol w:w="567"/>
        <w:gridCol w:w="6"/>
        <w:gridCol w:w="190"/>
        <w:gridCol w:w="382"/>
        <w:gridCol w:w="254"/>
        <w:gridCol w:w="208"/>
        <w:gridCol w:w="235"/>
        <w:gridCol w:w="368"/>
        <w:gridCol w:w="8"/>
        <w:gridCol w:w="170"/>
        <w:gridCol w:w="1025"/>
        <w:gridCol w:w="67"/>
        <w:gridCol w:w="14"/>
        <w:gridCol w:w="519"/>
        <w:gridCol w:w="204"/>
        <w:gridCol w:w="319"/>
        <w:gridCol w:w="22"/>
        <w:gridCol w:w="273"/>
        <w:gridCol w:w="459"/>
        <w:gridCol w:w="39"/>
        <w:gridCol w:w="636"/>
        <w:gridCol w:w="208"/>
        <w:gridCol w:w="26"/>
        <w:gridCol w:w="321"/>
        <w:gridCol w:w="120"/>
        <w:gridCol w:w="1815"/>
      </w:tblGrid>
      <w:tr w:rsidR="0022631D" w:rsidRPr="0068655E" w14:paraId="3BCB0F4A" w14:textId="77777777" w:rsidTr="008C19E0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865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0" w:type="dxa"/>
            <w:gridSpan w:val="30"/>
            <w:vAlign w:val="center"/>
          </w:tcPr>
          <w:p w14:paraId="47A5B985" w14:textId="77777777" w:rsidR="0022631D" w:rsidRPr="006865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865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6865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865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C19E0">
        <w:trPr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2FE8235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C19E0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0336497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C19E0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54ADF04A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8C19E0">
        <w:trPr>
          <w:trHeight w:val="40"/>
        </w:trPr>
        <w:tc>
          <w:tcPr>
            <w:tcW w:w="772" w:type="dxa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83116F9" w:rsidR="0022631D" w:rsidRPr="00401537" w:rsidRDefault="007508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836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տեխնիկական աջակցության և վերահսկման խորհրդատուի ծառայություններ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33EB73D5" w:rsidR="0022631D" w:rsidRPr="00401537" w:rsidRDefault="008334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4015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C2723A3" w:rsidR="0022631D" w:rsidRPr="00401537" w:rsidRDefault="008334A5" w:rsidP="00833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153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AF35500" w:rsidR="0022631D" w:rsidRPr="00401537" w:rsidRDefault="008334A5" w:rsidP="00833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153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04109FFB" w:rsidR="0022631D" w:rsidRPr="00401537" w:rsidRDefault="008334A5" w:rsidP="00833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153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0CD61A25" w:rsidR="0022631D" w:rsidRPr="00401537" w:rsidRDefault="008334A5" w:rsidP="00833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153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013593A" w14:textId="5829F12E" w:rsidR="0022631D" w:rsidRPr="00401537" w:rsidRDefault="007508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836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տեխնիկական աջակցության և վերահսկման խորհրդատուի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152B32D" w14:textId="606E1A19" w:rsidR="0022631D" w:rsidRPr="00401537" w:rsidRDefault="007508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836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տեխնիկական աջակցության և վերահսկման խորհրդատուի ծառայություններ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50836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05384F0F" w14:textId="77777777" w:rsidR="0022631D" w:rsidRPr="00401537" w:rsidRDefault="008334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01537">
              <w:rPr>
                <w:rFonts w:ascii="GHEA Grapalat" w:hAnsi="GHEA Grapalat" w:cs="Sylfaen"/>
                <w:sz w:val="16"/>
                <w:szCs w:val="16"/>
                <w:lang w:val="hy-AM"/>
              </w:rPr>
              <w:t>ՀՀ կառավարության 04/05/17թ. N 526-Ն որոշմամբ հաստատված  «Գնումների գործընթացի կազմակերպման  կարգի» /այսուհետ՝ Կարգ/ 68-րդ կետի 5-րդ ենթակետ</w:t>
            </w:r>
          </w:p>
          <w:p w14:paraId="33403BD5" w14:textId="77777777" w:rsidR="008334A5" w:rsidRPr="00401537" w:rsidRDefault="008334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01537">
              <w:rPr>
                <w:rFonts w:ascii="GHEA Grapalat" w:hAnsi="GHEA Grapalat" w:cs="Sylfaen"/>
                <w:sz w:val="16"/>
                <w:szCs w:val="16"/>
                <w:lang w:val="hy-AM"/>
              </w:rPr>
              <w:t>«Գնումների մասին» ՀՀ օրենքի 15-րդ հոդվածի 6-րդ մասի  1-ին կետ</w:t>
            </w:r>
          </w:p>
          <w:p w14:paraId="2C5DC7B8" w14:textId="187F9B88" w:rsidR="008334A5" w:rsidRPr="008334A5" w:rsidRDefault="0003602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01537">
              <w:rPr>
                <w:rFonts w:ascii="GHEA Grapalat" w:hAnsi="GHEA Grapalat" w:cs="Sylfaen"/>
                <w:sz w:val="16"/>
                <w:szCs w:val="16"/>
                <w:lang w:val="hy-AM"/>
              </w:rPr>
              <w:t>ՀՀ կառավարության 05/09/24 թ. N 1409-Ա որոշում</w:t>
            </w:r>
          </w:p>
        </w:tc>
      </w:tr>
      <w:tr w:rsidR="0022631D" w:rsidRPr="00750836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8334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A92CCA5" w:rsidR="0022631D" w:rsidRPr="0022631D" w:rsidRDefault="007508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Նախաորակավորման h</w:t>
            </w:r>
            <w:r w:rsidR="0022631D"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="0022631D" w:rsidRPr="008C19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="0022631D"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4B8027E" w:rsidR="0022631D" w:rsidRPr="001A32BD" w:rsidRDefault="007508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.2025 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A32BD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0836" w:rsidRPr="0022631D" w14:paraId="5DAEEBA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D8AE" w14:textId="50E661B3" w:rsidR="00750836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h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CFF6ABF" w14:textId="50812A23" w:rsidR="00750836" w:rsidRPr="00750836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08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Pr="00750836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7508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Pr="00750836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7508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Pr="00750836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750836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7F6551" w14:textId="77777777" w:rsidR="00750836" w:rsidRDefault="00012427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Նախաորակավորման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="00750836"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="00750836"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F4B3560" w14:textId="6E29F91A" w:rsidR="00012427" w:rsidRPr="0022631D" w:rsidRDefault="00012427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մրցույթի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հրավերում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108C8A31" w:rsidR="00750836" w:rsidRPr="001A32B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427" w:rsidRPr="0022631D" w14:paraId="1A73D37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B9160F" w14:textId="77777777" w:rsidR="00012427" w:rsidRDefault="00012427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2CD5" w14:textId="5B465759" w:rsidR="00012427" w:rsidRPr="0022631D" w:rsidRDefault="00012427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AE6A" w14:textId="77777777" w:rsidR="00012427" w:rsidRPr="001A32BD" w:rsidRDefault="00012427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4961" w:type="dxa"/>
          <w:trHeight w:val="186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75C72A" w14:textId="77777777" w:rsidR="00750836" w:rsidRDefault="00012427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Նախաորակավորման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րավերի</w:t>
            </w:r>
            <w:proofErr w:type="spellEnd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50836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20FA0C30" w:rsidR="00012427" w:rsidRPr="0022631D" w:rsidRDefault="00012427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մրցույթի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50836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4961" w:type="dxa"/>
          <w:trHeight w:val="186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10DC4861" w14:textId="77777777" w:rsidTr="00532CB1">
        <w:trPr>
          <w:trHeight w:val="605"/>
        </w:trPr>
        <w:tc>
          <w:tcPr>
            <w:tcW w:w="1385" w:type="dxa"/>
            <w:gridSpan w:val="2"/>
            <w:vMerge w:val="restart"/>
            <w:vAlign w:val="center"/>
          </w:tcPr>
          <w:p w14:paraId="34162061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3"/>
            <w:vAlign w:val="center"/>
          </w:tcPr>
          <w:p w14:paraId="1FD38684" w14:textId="7B03D174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proofErr w:type="gramEnd"/>
            <w:r w:rsidR="000124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եվրո</w:t>
            </w:r>
            <w:proofErr w:type="spellEnd"/>
          </w:p>
        </w:tc>
      </w:tr>
      <w:tr w:rsidR="00750836" w:rsidRPr="0022631D" w14:paraId="3FD00E3A" w14:textId="77777777" w:rsidTr="00B97758">
        <w:trPr>
          <w:trHeight w:val="365"/>
        </w:trPr>
        <w:tc>
          <w:tcPr>
            <w:tcW w:w="1385" w:type="dxa"/>
            <w:gridSpan w:val="2"/>
            <w:vMerge/>
            <w:vAlign w:val="center"/>
          </w:tcPr>
          <w:p w14:paraId="67E5DBFB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7542D69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14:paraId="4A371FE9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50836" w:rsidRPr="0022631D" w14:paraId="4DA511EC" w14:textId="77777777" w:rsidTr="00012170">
        <w:trPr>
          <w:trHeight w:val="83"/>
        </w:trPr>
        <w:tc>
          <w:tcPr>
            <w:tcW w:w="1385" w:type="dxa"/>
            <w:gridSpan w:val="2"/>
            <w:vAlign w:val="center"/>
          </w:tcPr>
          <w:p w14:paraId="5DBE5B3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vAlign w:val="center"/>
          </w:tcPr>
          <w:p w14:paraId="6ABF72D4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50836" w:rsidRPr="0022631D" w14:paraId="50825522" w14:textId="77777777" w:rsidTr="00F9151A">
        <w:trPr>
          <w:trHeight w:val="83"/>
        </w:trPr>
        <w:tc>
          <w:tcPr>
            <w:tcW w:w="1385" w:type="dxa"/>
            <w:gridSpan w:val="2"/>
            <w:vAlign w:val="center"/>
          </w:tcPr>
          <w:p w14:paraId="50AD5B95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3AA86715" w:rsidR="00750836" w:rsidRPr="00401537" w:rsidRDefault="00012427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50C7">
              <w:rPr>
                <w:rFonts w:ascii="GHEA Grapalat" w:hAnsi="GHEA Grapalat"/>
                <w:color w:val="000000"/>
                <w:sz w:val="18"/>
                <w:szCs w:val="18"/>
              </w:rPr>
              <w:t>GOPA Tech GmbH</w:t>
            </w:r>
          </w:p>
        </w:tc>
        <w:tc>
          <w:tcPr>
            <w:tcW w:w="3250" w:type="dxa"/>
            <w:gridSpan w:val="11"/>
            <w:vAlign w:val="center"/>
          </w:tcPr>
          <w:p w14:paraId="1D867224" w14:textId="5C874B72" w:rsidR="00750836" w:rsidRPr="00012427" w:rsidRDefault="00012427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01242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080</w:t>
            </w:r>
            <w:r w:rsidRPr="0001242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4ADB4AEF" w:rsidR="00750836" w:rsidRPr="00012427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1F59BBB2" w14:textId="4D663B71" w:rsidR="00750836" w:rsidRPr="00012427" w:rsidRDefault="00012427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01242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080</w:t>
            </w:r>
            <w:r w:rsidRPr="0001242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750836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0836" w:rsidRPr="0022631D" w14:paraId="552679BF" w14:textId="77777777" w:rsidTr="0068655E">
        <w:tc>
          <w:tcPr>
            <w:tcW w:w="772" w:type="dxa"/>
            <w:vMerge w:val="restart"/>
            <w:vAlign w:val="center"/>
          </w:tcPr>
          <w:p w14:paraId="770D59C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vAlign w:val="center"/>
          </w:tcPr>
          <w:p w14:paraId="563B2C65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0836" w:rsidRPr="0022631D" w14:paraId="3CA6FABC" w14:textId="77777777" w:rsidTr="0068655E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50836" w:rsidRPr="0022631D" w14:paraId="5E96A1C5" w14:textId="77777777" w:rsidTr="0068655E">
        <w:tc>
          <w:tcPr>
            <w:tcW w:w="772" w:type="dxa"/>
            <w:tcBorders>
              <w:bottom w:val="single" w:sz="8" w:space="0" w:color="auto"/>
            </w:tcBorders>
          </w:tcPr>
          <w:p w14:paraId="6CEDE0A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7CD1451B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</w:tcPr>
          <w:p w14:paraId="03550B2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</w:tcPr>
          <w:p w14:paraId="504E155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443F73EF" w14:textId="77777777" w:rsidTr="0068655E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</w:tcPr>
          <w:p w14:paraId="53C8EE9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5E76D40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</w:tcPr>
          <w:p w14:paraId="0FB0E5F7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</w:tcPr>
          <w:p w14:paraId="5FEDE38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522ACAFB" w14:textId="77777777" w:rsidTr="0068655E">
        <w:trPr>
          <w:trHeight w:val="331"/>
        </w:trPr>
        <w:tc>
          <w:tcPr>
            <w:tcW w:w="2331" w:type="dxa"/>
            <w:gridSpan w:val="3"/>
            <w:vAlign w:val="center"/>
          </w:tcPr>
          <w:p w14:paraId="514F7E40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8"/>
            <w:vAlign w:val="center"/>
          </w:tcPr>
          <w:p w14:paraId="71AB42B3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50836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030E9A4D" w:rsidR="00750836" w:rsidRPr="008C19E0" w:rsidRDefault="00012427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750836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750836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2025թ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750836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vAlign w:val="center"/>
          </w:tcPr>
          <w:p w14:paraId="7F8FD238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50836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0F6525A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Կիրառելի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չէ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A70CAF0" w:rsidR="00750836" w:rsidRPr="008C19E0" w:rsidRDefault="00750836" w:rsidP="00750836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124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0124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750836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2697F5B3" w:rsidR="00750836" w:rsidRPr="008C19E0" w:rsidRDefault="00012427" w:rsidP="007508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750836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r w:rsidR="00750836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750836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7D84DFBD" w:rsidR="00750836" w:rsidRPr="008C19E0" w:rsidRDefault="00012427" w:rsidP="00750836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750836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750836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</w:p>
        </w:tc>
      </w:tr>
      <w:tr w:rsidR="00750836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4E4EA255" w14:textId="77777777" w:rsidTr="0068655E">
        <w:tc>
          <w:tcPr>
            <w:tcW w:w="772" w:type="dxa"/>
            <w:vMerge w:val="restart"/>
            <w:vAlign w:val="center"/>
          </w:tcPr>
          <w:p w14:paraId="7AA249E4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vAlign w:val="center"/>
          </w:tcPr>
          <w:p w14:paraId="3EF9A58A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8"/>
            <w:vAlign w:val="center"/>
          </w:tcPr>
          <w:p w14:paraId="0A5086C3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50836" w:rsidRPr="0022631D" w14:paraId="11F19FA1" w14:textId="77777777" w:rsidTr="0068655E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856C5C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3EE0CE1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6"/>
            <w:vMerge w:val="restart"/>
            <w:vAlign w:val="center"/>
          </w:tcPr>
          <w:p w14:paraId="7E70E64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75" w:type="dxa"/>
            <w:gridSpan w:val="8"/>
            <w:vMerge w:val="restart"/>
            <w:vAlign w:val="center"/>
          </w:tcPr>
          <w:p w14:paraId="4C4044FB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vAlign w:val="center"/>
          </w:tcPr>
          <w:p w14:paraId="0911FBB2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50836" w:rsidRPr="0022631D" w14:paraId="4DC53241" w14:textId="77777777" w:rsidTr="0068655E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78A8417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67FA13FC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vAlign w:val="center"/>
          </w:tcPr>
          <w:p w14:paraId="7FDD9C22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8"/>
            <w:vMerge/>
            <w:vAlign w:val="center"/>
          </w:tcPr>
          <w:p w14:paraId="73BBD2A3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vAlign w:val="center"/>
          </w:tcPr>
          <w:p w14:paraId="3C0959C2" w14:textId="4B0BBFCD" w:rsidR="00750836" w:rsidRPr="001845D1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եվրո</w:t>
            </w:r>
          </w:p>
        </w:tc>
      </w:tr>
      <w:tr w:rsidR="00750836" w:rsidRPr="0022631D" w14:paraId="75FDA7D8" w14:textId="77777777" w:rsidTr="0068655E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58C05879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50836" w:rsidRPr="0022631D" w14:paraId="1E28D31D" w14:textId="77777777" w:rsidTr="0068655E">
        <w:trPr>
          <w:trHeight w:val="146"/>
        </w:trPr>
        <w:tc>
          <w:tcPr>
            <w:tcW w:w="772" w:type="dxa"/>
            <w:vAlign w:val="center"/>
          </w:tcPr>
          <w:p w14:paraId="1F1D10DE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91CD0D1" w14:textId="375F9B1E" w:rsidR="00750836" w:rsidRPr="0068655E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E50C7">
              <w:rPr>
                <w:rFonts w:ascii="GHEA Grapalat" w:hAnsi="GHEA Grapalat"/>
                <w:color w:val="000000"/>
                <w:sz w:val="18"/>
                <w:szCs w:val="18"/>
              </w:rPr>
              <w:t>GOPA Tech GmbH</w:t>
            </w:r>
          </w:p>
        </w:tc>
        <w:tc>
          <w:tcPr>
            <w:tcW w:w="993" w:type="dxa"/>
            <w:gridSpan w:val="3"/>
            <w:vAlign w:val="center"/>
          </w:tcPr>
          <w:p w14:paraId="2183B64C" w14:textId="47C7904D" w:rsidR="00750836" w:rsidRPr="0068655E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50836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ԲԷՑ-ՆԸ-ԲՄԽԾՁ</w:t>
            </w:r>
            <w:r w:rsidRPr="00750836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lastRenderedPageBreak/>
              <w:t>Բ-25/04</w:t>
            </w:r>
          </w:p>
        </w:tc>
        <w:tc>
          <w:tcPr>
            <w:tcW w:w="1275" w:type="dxa"/>
            <w:gridSpan w:val="6"/>
            <w:vAlign w:val="center"/>
          </w:tcPr>
          <w:p w14:paraId="54F54951" w14:textId="13EF03FF" w:rsidR="00750836" w:rsidRPr="0068655E" w:rsidRDefault="001845D1" w:rsidP="00750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22</w:t>
            </w:r>
            <w:r w:rsidR="00750836" w:rsidRPr="0068655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="00750836" w:rsidRPr="0068655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750836" w:rsidRPr="0068655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2025 թ</w:t>
            </w:r>
          </w:p>
        </w:tc>
        <w:tc>
          <w:tcPr>
            <w:tcW w:w="2375" w:type="dxa"/>
            <w:gridSpan w:val="8"/>
            <w:vAlign w:val="center"/>
          </w:tcPr>
          <w:p w14:paraId="610A7BBF" w14:textId="7A26FA44" w:rsidR="00750836" w:rsidRPr="0068655E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_Hlk171324553"/>
            <w:r w:rsidRPr="0068655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</w:t>
            </w:r>
            <w:r w:rsidRPr="0068655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համաձայնագրի ուժի մեջ մտնելու օրվանից մինչև ՀՀ էներգետիկ անցումն ապահովող ծրագրի շրջանակներում ենթակայանների վերակառուցման </w:t>
            </w:r>
            <w:bookmarkEnd w:id="0"/>
            <w:r w:rsidRPr="0068655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աշխատանքների ավարտը</w:t>
            </w:r>
            <w:r w:rsidR="001845D1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="001845D1" w:rsidRPr="00A941C2">
              <w:rPr>
                <w:rFonts w:ascii="GHEA Grapalat" w:hAnsi="GHEA Grapalat" w:cs="Sylfaen"/>
                <w:sz w:val="16"/>
                <w:szCs w:val="16"/>
                <w:lang w:val="hy-AM"/>
              </w:rPr>
              <w:t>2029 թվականի հունիս</w:t>
            </w:r>
            <w:r w:rsidR="001845D1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58D8528F" w:rsidR="00750836" w:rsidRPr="0068655E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8655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30" w:type="dxa"/>
            <w:gridSpan w:val="5"/>
            <w:vAlign w:val="center"/>
          </w:tcPr>
          <w:p w14:paraId="540F0BC7" w14:textId="7DE42830" w:rsidR="00750836" w:rsidRPr="0068655E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8655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35" w:type="dxa"/>
            <w:gridSpan w:val="2"/>
            <w:vAlign w:val="center"/>
          </w:tcPr>
          <w:p w14:paraId="6043A549" w14:textId="6EA47C52" w:rsidR="00750836" w:rsidRPr="0068655E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01242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080</w:t>
            </w:r>
            <w:r w:rsidRPr="0001242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012427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  <w:tr w:rsidR="00750836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vAlign w:val="center"/>
          </w:tcPr>
          <w:p w14:paraId="7265AE84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0836" w:rsidRPr="0022631D" w14:paraId="1F657639" w14:textId="77777777" w:rsidTr="0068655E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66D7382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6308841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50836" w:rsidRPr="00401537" w14:paraId="20BC55B9" w14:textId="77777777" w:rsidTr="006865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02725CD2" w:rsidR="00750836" w:rsidRPr="0022631D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50C7">
              <w:rPr>
                <w:rFonts w:ascii="GHEA Grapalat" w:hAnsi="GHEA Grapalat"/>
                <w:color w:val="000000"/>
                <w:sz w:val="18"/>
                <w:szCs w:val="18"/>
              </w:rPr>
              <w:t>GOPA Tech GmbH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vAlign w:val="center"/>
          </w:tcPr>
          <w:p w14:paraId="5E0005E0" w14:textId="77777777" w:rsidR="001845D1" w:rsidRPr="001845D1" w:rsidRDefault="001845D1" w:rsidP="001845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845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Գերմանիա, Բադ Հոմբուրգ, </w:t>
            </w:r>
          </w:p>
          <w:p w14:paraId="41EE5371" w14:textId="77777777" w:rsidR="001845D1" w:rsidRPr="001845D1" w:rsidRDefault="001845D1" w:rsidP="001845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845D1">
              <w:rPr>
                <w:rFonts w:ascii="GHEA Grapalat" w:hAnsi="GHEA Grapalat"/>
                <w:color w:val="000000"/>
                <w:sz w:val="18"/>
                <w:szCs w:val="18"/>
              </w:rPr>
              <w:t>Հինդենբուրգրինգ 18, 61348</w:t>
            </w:r>
          </w:p>
          <w:p w14:paraId="4916BA54" w14:textId="77777777" w:rsidR="00750836" w:rsidRPr="001845D1" w:rsidRDefault="00750836" w:rsidP="001845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vAlign w:val="center"/>
          </w:tcPr>
          <w:p w14:paraId="5F872B81" w14:textId="38101BA3" w:rsidR="00750836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Times Armenian"/>
                <w:sz w:val="24"/>
                <w:szCs w:val="24"/>
              </w:rPr>
            </w:pPr>
            <w:hyperlink r:id="rId8" w:history="1">
              <w:r w:rsidRPr="00711CBE">
                <w:rPr>
                  <w:rStyle w:val="Hyperlink"/>
                  <w:rFonts w:ascii="Times Armenian" w:eastAsia="Times New Roman" w:hAnsi="Times Armenian" w:cs="Times Armenian"/>
                  <w:sz w:val="24"/>
                  <w:szCs w:val="24"/>
                </w:rPr>
                <w:t>info-tech@gopa.eu</w:t>
              </w:r>
            </w:hyperlink>
          </w:p>
          <w:p w14:paraId="07F71670" w14:textId="52E7515F" w:rsidR="001845D1" w:rsidRPr="0022631D" w:rsidRDefault="001845D1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6C9FE3BC" w:rsidR="00750836" w:rsidRPr="001845D1" w:rsidRDefault="001845D1" w:rsidP="001845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845D1">
              <w:rPr>
                <w:rFonts w:ascii="GHEA Grapalat" w:hAnsi="GHEA Grapalat"/>
                <w:color w:val="000000"/>
                <w:sz w:val="18"/>
                <w:szCs w:val="18"/>
              </w:rPr>
              <w:t>DE06 5004 0000 0345 3149 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7FED1111" w:rsidR="00750836" w:rsidRPr="001845D1" w:rsidRDefault="001845D1" w:rsidP="001845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845D1">
              <w:rPr>
                <w:rFonts w:ascii="GHEA Grapalat" w:hAnsi="GHEA Grapalat"/>
                <w:color w:val="000000"/>
                <w:sz w:val="18"/>
                <w:szCs w:val="18"/>
              </w:rPr>
              <w:t>03</w:t>
            </w:r>
            <w:r w:rsidRPr="001845D1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1845D1">
              <w:rPr>
                <w:rFonts w:ascii="GHEA Grapalat" w:hAnsi="GHEA Grapalat"/>
                <w:color w:val="000000"/>
                <w:sz w:val="18"/>
                <w:szCs w:val="18"/>
              </w:rPr>
              <w:t>234 6111 8</w:t>
            </w:r>
          </w:p>
        </w:tc>
      </w:tr>
      <w:tr w:rsidR="00750836" w:rsidRPr="0022631D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C62C9C" w14:paraId="3863A00B" w14:textId="77777777" w:rsidTr="00C62C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13"/>
        </w:trPr>
        <w:tc>
          <w:tcPr>
            <w:tcW w:w="2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1FB58" w14:textId="73810EAF" w:rsidR="00C62C9C" w:rsidRPr="00C62C9C" w:rsidRDefault="00750836" w:rsidP="00C62C9C">
            <w:pPr>
              <w:ind w:left="360" w:firstLine="34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C62C9C" w:rsidRPr="00C62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 թվականի սեպտեմբերի 18-ին ՀՀ ՏԿԵՆ նախարարի  № ԴԽ/27.1/32256-2025 գրությամբ առաջարկվել է օրենսդրությամբ սահմանված կարգով գների նվազեցման շուրջ բանակցություններ վարել հաղթող մասնակցի հետ</w:t>
            </w:r>
            <w:r w:rsidR="00C62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։</w:t>
            </w:r>
            <w:r w:rsidR="00C62C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C62C9C" w:rsidRPr="00C62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Հիմք ընդունելով GOPA Tech GmbH ընկերության կողմից ստացված էլեկտրոնային նամակը և հաշվի առնելով մասնակցի առաջարկությունը՝ նամակագրությունը ընդունել որպես բանակցության մասնակցություն, հանձնաժողովը որոշեց «ԲԷՑ-ՆԸ-ԲՄԽԾՁԲ-25/04» ծածկագրով գնման ընթացակարգի հաղթող մասնակցի գնային առաջարկը թողնել անփոփոխով՝ GOPA Tech GmbH ընկերության կողմից ավելի ցածր գնային առաջարկ չներկայացնելու հիմքով։</w:t>
            </w:r>
          </w:p>
          <w:p w14:paraId="31BCF083" w14:textId="0A442661" w:rsidR="00750836" w:rsidRPr="0022631D" w:rsidRDefault="00750836" w:rsidP="007508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0836" w:rsidRPr="00C62C9C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750836" w:rsidRPr="00C62C9C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0836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vAlign w:val="center"/>
          </w:tcPr>
          <w:p w14:paraId="0AD8E25E" w14:textId="396D3B62" w:rsidR="00750836" w:rsidRPr="00E4188B" w:rsidRDefault="00750836" w:rsidP="007508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50836" w:rsidRPr="004D078F" w:rsidRDefault="00750836" w:rsidP="007508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50836" w:rsidRPr="004D078F" w:rsidRDefault="00750836" w:rsidP="007508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50836" w:rsidRPr="004D078F" w:rsidRDefault="00750836" w:rsidP="007508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50836" w:rsidRPr="004D078F" w:rsidRDefault="00750836" w:rsidP="007508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50836" w:rsidRPr="004D078F" w:rsidRDefault="00750836" w:rsidP="007508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50836" w:rsidRPr="004D078F" w:rsidRDefault="00750836" w:rsidP="007508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50836" w:rsidRPr="004D078F" w:rsidRDefault="00750836" w:rsidP="007508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6832447" w:rsidR="00750836" w:rsidRPr="004D078F" w:rsidRDefault="00750836" w:rsidP="007508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015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aram.asatryan@hven.am</w:t>
            </w:r>
          </w:p>
        </w:tc>
      </w:tr>
      <w:tr w:rsidR="00750836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0836" w:rsidRPr="00E56328" w14:paraId="5484FA73" w14:textId="77777777" w:rsidTr="0068655E">
        <w:trPr>
          <w:trHeight w:val="475"/>
        </w:trPr>
        <w:tc>
          <w:tcPr>
            <w:tcW w:w="2757" w:type="dxa"/>
            <w:gridSpan w:val="5"/>
            <w:tcBorders>
              <w:bottom w:val="single" w:sz="8" w:space="0" w:color="auto"/>
            </w:tcBorders>
          </w:tcPr>
          <w:p w14:paraId="7A9CE343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</w:tcPr>
          <w:p w14:paraId="6FC786A2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0836" w:rsidRPr="00E56328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0836" w:rsidRPr="00750836" w14:paraId="40B30E88" w14:textId="77777777" w:rsidTr="0068655E">
        <w:trPr>
          <w:trHeight w:val="427"/>
        </w:trPr>
        <w:tc>
          <w:tcPr>
            <w:tcW w:w="2757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750836" w:rsidRPr="0022631D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25B8B7D3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հայտնաբերվել:</w:t>
            </w:r>
          </w:p>
        </w:tc>
      </w:tr>
      <w:tr w:rsidR="00750836" w:rsidRPr="00750836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0836" w:rsidRPr="00750836" w14:paraId="4DE14D25" w14:textId="77777777" w:rsidTr="0068655E">
        <w:trPr>
          <w:trHeight w:val="427"/>
        </w:trPr>
        <w:tc>
          <w:tcPr>
            <w:tcW w:w="2757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750836" w:rsidRPr="00E56328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C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vAlign w:val="center"/>
          </w:tcPr>
          <w:p w14:paraId="60D8FEE6" w14:textId="77777777" w:rsidR="00750836" w:rsidRPr="00401537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0153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0153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 բողոքներ չեն ներկայացվել:</w:t>
            </w:r>
          </w:p>
          <w:p w14:paraId="6379ACA6" w14:textId="77777777" w:rsidR="00750836" w:rsidRPr="00E56328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0836" w:rsidRPr="00750836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750836" w:rsidRPr="00E56328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0836" w:rsidRPr="0022631D" w14:paraId="5F667D89" w14:textId="77777777" w:rsidTr="0068655E">
        <w:trPr>
          <w:trHeight w:val="427"/>
        </w:trPr>
        <w:tc>
          <w:tcPr>
            <w:tcW w:w="2757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750836" w:rsidRPr="0022631D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50836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750836" w:rsidRPr="0022631D" w:rsidRDefault="00750836" w:rsidP="00750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0836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vAlign w:val="center"/>
          </w:tcPr>
          <w:p w14:paraId="73A19DB3" w14:textId="77777777" w:rsidR="00750836" w:rsidRPr="0022631D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0836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750836" w:rsidRPr="0022631D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750836" w:rsidRPr="0022631D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750836" w:rsidRPr="0022631D" w:rsidRDefault="00750836" w:rsidP="007508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0836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vAlign w:val="center"/>
          </w:tcPr>
          <w:p w14:paraId="0A862370" w14:textId="74AC78F1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Նարինե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Կիրակոսյան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2F8FCD27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     </w:t>
            </w:r>
            <w:r w:rsidRPr="004015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060380040</w:t>
            </w:r>
          </w:p>
        </w:tc>
        <w:tc>
          <w:tcPr>
            <w:tcW w:w="3897" w:type="dxa"/>
            <w:gridSpan w:val="9"/>
            <w:vAlign w:val="center"/>
          </w:tcPr>
          <w:p w14:paraId="3C42DEDA" w14:textId="254CD1F9" w:rsidR="00750836" w:rsidRPr="0022631D" w:rsidRDefault="00750836" w:rsidP="00750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narine.kirakosyan</w:t>
            </w:r>
            <w:r w:rsidRPr="004015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@hven.am</w:t>
            </w:r>
          </w:p>
        </w:tc>
      </w:tr>
    </w:tbl>
    <w:p w14:paraId="4EC74BA4" w14:textId="77777777" w:rsidR="00401537" w:rsidRPr="00401537" w:rsidRDefault="00401537" w:rsidP="0040153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bCs/>
          <w:sz w:val="16"/>
          <w:szCs w:val="16"/>
          <w:lang w:val="hy-AM" w:eastAsia="ru-RU"/>
        </w:rPr>
      </w:pPr>
      <w:r w:rsidRPr="00401537">
        <w:rPr>
          <w:rFonts w:ascii="GHEA Grapalat" w:eastAsia="Times New Roman" w:hAnsi="GHEA Grapalat"/>
          <w:b/>
          <w:bCs/>
          <w:sz w:val="16"/>
          <w:szCs w:val="16"/>
          <w:lang w:val="af-ZA" w:eastAsia="ru-RU"/>
        </w:rPr>
        <w:t>Պատվիրատու՝</w:t>
      </w:r>
      <w:r w:rsidRPr="00401537">
        <w:rPr>
          <w:rFonts w:ascii="GHEA Grapalat" w:eastAsia="Times New Roman" w:hAnsi="GHEA Grapalat"/>
          <w:b/>
          <w:bCs/>
          <w:sz w:val="16"/>
          <w:szCs w:val="16"/>
          <w:lang w:val="hy-AM" w:eastAsia="ru-RU"/>
        </w:rPr>
        <w:t xml:space="preserve"> «Բարձրավոլտ էլեկտրացանցեր» ՓԲԸ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68655E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9152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427"/>
    <w:rsid w:val="00036027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A98"/>
    <w:rsid w:val="0018422F"/>
    <w:rsid w:val="001845D1"/>
    <w:rsid w:val="001A1999"/>
    <w:rsid w:val="001A32BD"/>
    <w:rsid w:val="001C1BE1"/>
    <w:rsid w:val="001E0091"/>
    <w:rsid w:val="0022631D"/>
    <w:rsid w:val="00295B92"/>
    <w:rsid w:val="002A357B"/>
    <w:rsid w:val="002E4E6F"/>
    <w:rsid w:val="002F16CC"/>
    <w:rsid w:val="002F1FEB"/>
    <w:rsid w:val="00371B1D"/>
    <w:rsid w:val="00394A1E"/>
    <w:rsid w:val="003A2207"/>
    <w:rsid w:val="003B2758"/>
    <w:rsid w:val="003E3D40"/>
    <w:rsid w:val="003E6978"/>
    <w:rsid w:val="00401537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30024"/>
    <w:rsid w:val="00646760"/>
    <w:rsid w:val="0068655E"/>
    <w:rsid w:val="00690ECB"/>
    <w:rsid w:val="006A38B4"/>
    <w:rsid w:val="006B2E21"/>
    <w:rsid w:val="006C0266"/>
    <w:rsid w:val="006D7C43"/>
    <w:rsid w:val="006E0D92"/>
    <w:rsid w:val="006E1A83"/>
    <w:rsid w:val="006F2779"/>
    <w:rsid w:val="007060FC"/>
    <w:rsid w:val="00750836"/>
    <w:rsid w:val="007732E7"/>
    <w:rsid w:val="0078682E"/>
    <w:rsid w:val="0081420B"/>
    <w:rsid w:val="008334A5"/>
    <w:rsid w:val="008C19E0"/>
    <w:rsid w:val="008C4E62"/>
    <w:rsid w:val="008E493A"/>
    <w:rsid w:val="00931680"/>
    <w:rsid w:val="009C5E0F"/>
    <w:rsid w:val="009E75FF"/>
    <w:rsid w:val="00A10253"/>
    <w:rsid w:val="00A306F5"/>
    <w:rsid w:val="00A31820"/>
    <w:rsid w:val="00AA32E4"/>
    <w:rsid w:val="00AD07B9"/>
    <w:rsid w:val="00AD59DC"/>
    <w:rsid w:val="00AE2BE3"/>
    <w:rsid w:val="00B75762"/>
    <w:rsid w:val="00B91DE2"/>
    <w:rsid w:val="00B94EA2"/>
    <w:rsid w:val="00BA03B0"/>
    <w:rsid w:val="00BB0A93"/>
    <w:rsid w:val="00BD016A"/>
    <w:rsid w:val="00BD3D4E"/>
    <w:rsid w:val="00BF1465"/>
    <w:rsid w:val="00BF4745"/>
    <w:rsid w:val="00C62C9C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F15AF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2055"/>
    <w:rsid w:val="00F63313"/>
    <w:rsid w:val="00F64167"/>
    <w:rsid w:val="00F64ACF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28E243"/>
  <w15:docId w15:val="{A210344C-E454-4D86-9AA3-396DFC3C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40153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1537"/>
    <w:rPr>
      <w:rFonts w:ascii="Times Armenian" w:eastAsia="Times New Roman" w:hAnsi="Times Armenian" w:cs="Times Armenian"/>
      <w:sz w:val="24"/>
      <w:szCs w:val="24"/>
    </w:rPr>
  </w:style>
  <w:style w:type="character" w:styleId="Hyperlink">
    <w:name w:val="Hyperlink"/>
    <w:uiPriority w:val="99"/>
    <w:unhideWhenUsed/>
    <w:rsid w:val="004015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tech@g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Narine Kirakosyan</cp:lastModifiedBy>
  <cp:revision>18</cp:revision>
  <cp:lastPrinted>2021-04-06T07:47:00Z</cp:lastPrinted>
  <dcterms:created xsi:type="dcterms:W3CDTF">2021-06-28T12:08:00Z</dcterms:created>
  <dcterms:modified xsi:type="dcterms:W3CDTF">2025-10-23T06:06:00Z</dcterms:modified>
</cp:coreProperties>
</file>