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Pr="000705DF" w:rsidRDefault="00192CBB" w:rsidP="000705DF">
      <w:pPr>
        <w:pStyle w:val="Heading3"/>
        <w:ind w:firstLine="0"/>
        <w:rPr>
          <w:rFonts w:ascii="GHEA Grapalat" w:hAnsi="GHEA Grapalat" w:cs="Arial"/>
          <w:noProof/>
          <w:color w:val="000000"/>
          <w:sz w:val="24"/>
          <w:szCs w:val="24"/>
          <w:lang w:val="af-ZA"/>
        </w:rPr>
      </w:pPr>
      <w:r w:rsidRPr="000705DF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ՀԱՅՏԱՐԱՐՈՒԹՅՈՒՆ</w:t>
      </w:r>
    </w:p>
    <w:p w:rsidR="00192CBB" w:rsidRPr="000705DF" w:rsidRDefault="00192CBB" w:rsidP="000705DF">
      <w:pPr>
        <w:pStyle w:val="Heading3"/>
        <w:ind w:firstLine="0"/>
        <w:rPr>
          <w:rFonts w:ascii="GHEA Grapalat" w:hAnsi="GHEA Grapalat" w:cs="Arial"/>
          <w:noProof/>
          <w:color w:val="000000"/>
          <w:sz w:val="24"/>
          <w:szCs w:val="24"/>
          <w:lang w:val="af-ZA"/>
        </w:rPr>
      </w:pPr>
      <w:r w:rsidRPr="000705DF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գնման ընթացակարգը չկայացած հայտարարելու մասին</w:t>
      </w:r>
    </w:p>
    <w:p w:rsidR="000705DF" w:rsidRDefault="000705DF" w:rsidP="00192C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92CBB" w:rsidRPr="002337BB" w:rsidRDefault="00192CBB" w:rsidP="00192C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337B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2337BB">
        <w:rPr>
          <w:rFonts w:ascii="GHEA Grapalat" w:hAnsi="GHEA Grapalat"/>
          <w:b w:val="0"/>
          <w:sz w:val="20"/>
          <w:lang w:val="af-ZA"/>
        </w:rPr>
        <w:t xml:space="preserve"> </w:t>
      </w:r>
      <w:r w:rsidR="003A162E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ՓՀՓԲԱ-ԳՀԱՊՁԲ-21/</w:t>
      </w:r>
      <w:r w:rsidR="00627EAF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3</w:t>
      </w:r>
    </w:p>
    <w:p w:rsidR="00192CBB" w:rsidRPr="002337BB" w:rsidRDefault="00192CBB" w:rsidP="00704C4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92CBB" w:rsidRPr="002337BB" w:rsidRDefault="002337BB" w:rsidP="00131DAF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</w:pP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«</w:t>
      </w:r>
      <w:r w:rsidR="003A162E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Փարաքարի</w:t>
      </w: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բժշկական ամբուլատորիա» ՀՈԱԿ-</w:t>
      </w:r>
      <w:r w:rsidR="00342A07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ը</w:t>
      </w:r>
      <w:r w:rsidR="006E6903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դեղորայքի և պատվաստանյութերի</w:t>
      </w:r>
      <w:r w:rsidR="00341150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31DAF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նպատակով </w:t>
      </w:r>
      <w:r w:rsidR="003A162E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ՓՀՓԲԱ-ԳՀԱՊՁԲ-21/</w:t>
      </w:r>
      <w:r w:rsidR="00627EAF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3</w:t>
      </w:r>
      <w:r w:rsidR="00240F64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10535" w:type="dxa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71"/>
        <w:gridCol w:w="2713"/>
        <w:gridCol w:w="2434"/>
        <w:gridCol w:w="2012"/>
      </w:tblGrid>
      <w:tr w:rsidR="00341150" w:rsidRPr="00627EAF" w:rsidTr="00627EAF">
        <w:trPr>
          <w:trHeight w:val="310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605D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/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337B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02C95" w:rsidRPr="00627EAF" w:rsidTr="00627EAF">
        <w:trPr>
          <w:trHeight w:val="66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627EAF" w:rsidRDefault="00627EAF" w:rsidP="00547D18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547D18" w:rsidRDefault="00547D18" w:rsidP="00547D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7D18">
              <w:rPr>
                <w:rFonts w:ascii="GHEA Grapalat" w:hAnsi="GHEA Grapalat"/>
                <w:sz w:val="20"/>
                <w:szCs w:val="20"/>
              </w:rPr>
              <w:t>Ազիթրոմիցին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547D18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2337BB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547D1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547D1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547D18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547D1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547D1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627EAF" w:rsidTr="00627EAF">
        <w:trPr>
          <w:trHeight w:val="66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627EAF" w:rsidRDefault="00627EAF" w:rsidP="00547D18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D18" w:rsidRPr="00547D18" w:rsidRDefault="00547D18" w:rsidP="00547D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47D18">
              <w:rPr>
                <w:rFonts w:ascii="GHEA Grapalat" w:hAnsi="GHEA Grapalat"/>
                <w:sz w:val="20"/>
                <w:szCs w:val="20"/>
              </w:rPr>
              <w:t>Կալցիում,</w:t>
            </w:r>
          </w:p>
          <w:p w:rsidR="00102C95" w:rsidRPr="00547D18" w:rsidRDefault="00547D18" w:rsidP="00547D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7D18">
              <w:rPr>
                <w:rFonts w:ascii="GHEA Grapalat" w:hAnsi="GHEA Grapalat"/>
                <w:sz w:val="20"/>
                <w:szCs w:val="20"/>
              </w:rPr>
              <w:t>խոլեկալցիֆերոլ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547D18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2337BB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547D1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547D1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547D18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547D1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547D1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Pr="002337BB" w:rsidRDefault="00192CBB" w:rsidP="00547D1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E6903" w:rsidRPr="002337BB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6E6903" w:rsidRPr="002337BB">
        <w:rPr>
          <w:rFonts w:ascii="GHEA Grapalat" w:hAnsi="GHEA Grapalat" w:cs="Sylfaen"/>
          <w:sz w:val="20"/>
          <w:lang w:val="af-ZA"/>
        </w:rPr>
        <w:t xml:space="preserve"> </w:t>
      </w:r>
      <w:r w:rsidR="003A162E">
        <w:rPr>
          <w:rFonts w:ascii="GHEA Grapalat" w:hAnsi="GHEA Grapalat" w:cs="Sylfaen"/>
          <w:sz w:val="20"/>
          <w:lang w:val="af-ZA"/>
        </w:rPr>
        <w:t>ՓՀՓԲԱ-ԳՀԱՊՁԲ-21/</w:t>
      </w:r>
      <w:r w:rsidR="00627EAF">
        <w:rPr>
          <w:rFonts w:ascii="GHEA Grapalat" w:hAnsi="GHEA Grapalat" w:cs="Sylfaen"/>
          <w:sz w:val="20"/>
          <w:lang w:val="af-ZA"/>
        </w:rPr>
        <w:t>3</w:t>
      </w:r>
      <w:r w:rsidR="00240F64" w:rsidRPr="002337BB">
        <w:rPr>
          <w:rFonts w:ascii="GHEA Grapalat" w:hAnsi="GHEA Grapalat" w:cs="Sylfaen"/>
          <w:sz w:val="20"/>
          <w:lang w:val="af-ZA"/>
        </w:rPr>
        <w:t xml:space="preserve"> </w:t>
      </w:r>
      <w:r w:rsidRPr="002337BB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B7F95" w:rsidRPr="002337BB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 w:rsidR="00704C41" w:rsidRPr="002337BB">
        <w:rPr>
          <w:rFonts w:ascii="GHEA Grapalat" w:hAnsi="GHEA Grapalat" w:cs="Sylfaen"/>
          <w:sz w:val="20"/>
          <w:lang w:val="af-ZA"/>
        </w:rPr>
        <w:t xml:space="preserve"> </w:t>
      </w:r>
      <w:r w:rsidR="00605DBB">
        <w:rPr>
          <w:rFonts w:ascii="GHEA Grapalat" w:hAnsi="GHEA Grapalat" w:cs="Sylfaen"/>
          <w:sz w:val="20"/>
          <w:lang w:val="af-ZA"/>
        </w:rPr>
        <w:t>Ֆ</w:t>
      </w:r>
      <w:r w:rsidR="00704C41" w:rsidRPr="002337BB">
        <w:rPr>
          <w:rFonts w:ascii="GHEA Grapalat" w:hAnsi="GHEA Grapalat" w:cs="Sylfaen"/>
          <w:sz w:val="20"/>
          <w:lang w:val="af-ZA"/>
        </w:rPr>
        <w:t xml:space="preserve">. </w:t>
      </w:r>
      <w:r w:rsidR="00605DBB">
        <w:rPr>
          <w:rFonts w:ascii="GHEA Grapalat" w:hAnsi="GHEA Grapalat" w:cs="Sylfaen"/>
          <w:sz w:val="20"/>
          <w:lang w:val="af-ZA"/>
        </w:rPr>
        <w:t>Մանգ</w:t>
      </w:r>
      <w:r w:rsidR="006E6903" w:rsidRPr="002337BB">
        <w:rPr>
          <w:rFonts w:ascii="GHEA Grapalat" w:hAnsi="GHEA Grapalat" w:cs="Sylfaen"/>
          <w:sz w:val="20"/>
          <w:lang w:val="af-ZA"/>
        </w:rPr>
        <w:t>յ</w:t>
      </w:r>
      <w:r w:rsidR="00704C41" w:rsidRPr="002337BB">
        <w:rPr>
          <w:rFonts w:ascii="GHEA Grapalat" w:hAnsi="GHEA Grapalat" w:cs="Sylfaen"/>
          <w:sz w:val="20"/>
          <w:lang w:val="af-ZA"/>
        </w:rPr>
        <w:t>անին:</w:t>
      </w:r>
    </w:p>
    <w:p w:rsidR="00192CBB" w:rsidRPr="002337BB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Հեռախոս՝ </w:t>
      </w:r>
      <w:bookmarkStart w:id="0" w:name="_GoBack"/>
      <w:bookmarkEnd w:id="0"/>
      <w:r w:rsidR="006E6903" w:rsidRPr="002337BB">
        <w:rPr>
          <w:rFonts w:ascii="GHEA Grapalat" w:hAnsi="GHEA Grapalat" w:cs="Sylfaen"/>
          <w:sz w:val="20"/>
          <w:lang w:val="af-ZA"/>
        </w:rPr>
        <w:t xml:space="preserve"> </w:t>
      </w:r>
      <w:r w:rsidR="002D0965" w:rsidRPr="002D0965">
        <w:rPr>
          <w:rFonts w:ascii="GHEA Grapalat" w:hAnsi="GHEA Grapalat" w:cs="Sylfaen"/>
          <w:sz w:val="20"/>
          <w:lang w:val="af-ZA"/>
        </w:rPr>
        <w:t>+374 77 55 09 79</w:t>
      </w: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400699">
        <w:rPr>
          <w:rFonts w:ascii="GHEA Grapalat" w:hAnsi="GHEA Grapalat" w:cs="Sylfaen"/>
          <w:sz w:val="20"/>
          <w:lang w:val="af-ZA"/>
        </w:rPr>
        <w:t xml:space="preserve"> </w:t>
      </w:r>
      <w:r w:rsidR="002D0965" w:rsidRPr="002D0965">
        <w:rPr>
          <w:rFonts w:ascii="GHEA Grapalat" w:hAnsi="GHEA Grapalat" w:cs="Sylfaen"/>
          <w:sz w:val="20"/>
          <w:lang w:val="af-ZA"/>
        </w:rPr>
        <w:t>flora@osllc.am</w:t>
      </w: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2337BB" w:rsidRPr="00E20105">
        <w:rPr>
          <w:rFonts w:ascii="GHEA Grapalat" w:hAnsi="GHEA Grapalat" w:cs="Sylfaen"/>
          <w:sz w:val="20"/>
          <w:lang w:val="af-ZA"/>
        </w:rPr>
        <w:t>«</w:t>
      </w:r>
      <w:r w:rsidR="003A162E" w:rsidRPr="00E20105">
        <w:rPr>
          <w:rFonts w:ascii="GHEA Grapalat" w:hAnsi="GHEA Grapalat" w:cs="Sylfaen"/>
          <w:sz w:val="20"/>
          <w:lang w:val="af-ZA"/>
        </w:rPr>
        <w:t>Փարաքարի</w:t>
      </w:r>
      <w:r w:rsidR="002337BB" w:rsidRPr="00E20105">
        <w:rPr>
          <w:rFonts w:ascii="GHEA Grapalat" w:hAnsi="GHEA Grapalat" w:cs="Sylfaen"/>
          <w:sz w:val="20"/>
          <w:lang w:val="af-ZA"/>
        </w:rPr>
        <w:t xml:space="preserve"> բժշկական ամբուլատորիա» ՀՈԱԿ</w:t>
      </w:r>
    </w:p>
    <w:p w:rsidR="005019E8" w:rsidRPr="002337BB" w:rsidRDefault="005019E8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5019E8" w:rsidRPr="002337BB" w:rsidSect="00605D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514B28"/>
    <w:rsid w:val="000705DF"/>
    <w:rsid w:val="000B572D"/>
    <w:rsid w:val="00102C95"/>
    <w:rsid w:val="0010571D"/>
    <w:rsid w:val="00131DAF"/>
    <w:rsid w:val="00192CBB"/>
    <w:rsid w:val="001D7AAB"/>
    <w:rsid w:val="001F3DFE"/>
    <w:rsid w:val="002337BB"/>
    <w:rsid w:val="00240F64"/>
    <w:rsid w:val="002C1DC4"/>
    <w:rsid w:val="002D0965"/>
    <w:rsid w:val="002D25C0"/>
    <w:rsid w:val="00341150"/>
    <w:rsid w:val="00342A07"/>
    <w:rsid w:val="003A162E"/>
    <w:rsid w:val="003D5783"/>
    <w:rsid w:val="00400699"/>
    <w:rsid w:val="00476DD6"/>
    <w:rsid w:val="004B5600"/>
    <w:rsid w:val="005019E8"/>
    <w:rsid w:val="0051497F"/>
    <w:rsid w:val="00514B28"/>
    <w:rsid w:val="00547D18"/>
    <w:rsid w:val="00605DBB"/>
    <w:rsid w:val="00626BE2"/>
    <w:rsid w:val="00627EAF"/>
    <w:rsid w:val="006E6903"/>
    <w:rsid w:val="00704C41"/>
    <w:rsid w:val="00762B11"/>
    <w:rsid w:val="008F3206"/>
    <w:rsid w:val="00A0080B"/>
    <w:rsid w:val="00A07804"/>
    <w:rsid w:val="00B545D7"/>
    <w:rsid w:val="00B622B7"/>
    <w:rsid w:val="00BB7F95"/>
    <w:rsid w:val="00C56525"/>
    <w:rsid w:val="00CA1A03"/>
    <w:rsid w:val="00CB5E4A"/>
    <w:rsid w:val="00D851FD"/>
    <w:rsid w:val="00E20105"/>
    <w:rsid w:val="00EC0FCC"/>
    <w:rsid w:val="00EC59AC"/>
    <w:rsid w:val="00EE149D"/>
    <w:rsid w:val="00F20DD0"/>
    <w:rsid w:val="00F6597B"/>
    <w:rsid w:val="00FE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69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6903"/>
  </w:style>
  <w:style w:type="character" w:styleId="Hyperlink">
    <w:name w:val="Hyperlink"/>
    <w:rsid w:val="00EE14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B21A4-2445-4D0D-8C93-D4FD6E87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20</cp:revision>
  <dcterms:created xsi:type="dcterms:W3CDTF">2018-10-17T10:05:00Z</dcterms:created>
  <dcterms:modified xsi:type="dcterms:W3CDTF">2021-01-11T08:49:00Z</dcterms:modified>
</cp:coreProperties>
</file>