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2022.06.22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ՔՀ-ԷԱՃԱՊՁԲ-22/15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 Каджарана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область,г.Каджаран,ул.Лернагорцнера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небольшого крана и небольшого трактора для нужд муниципалитета Каджаран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 Աբելյան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abelyan2000@mail.ru</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028532181,094357087</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Муниципалитет г. Каджарана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ՔՀ-ԷԱՃԱՊՁԲ-22/15</w:t>
      </w:r>
      <w:r>
        <w:rPr>
          <w:rFonts w:ascii="Calibri" w:hAnsi="Calibri" w:cstheme="minorHAnsi"/>
          <w:i/>
        </w:rPr>
        <w:br/>
      </w:r>
      <w:r>
        <w:rPr>
          <w:rFonts w:ascii="Calibri" w:hAnsi="Calibri" w:cstheme="minorHAnsi"/>
          <w:szCs w:val="20"/>
          <w:lang w:val="af-ZA"/>
        </w:rPr>
        <w:t>2022.06.22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 Каджарана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 Каджарана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небольшого крана и небольшого трактора для нужд муниципалитета Каджаран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небольшого крана и небольшого трактора для нужд муниципалитета Каджаран</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Муниципалитет г. Каджарана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ՔՀ-ԷԱՃԱՊՁԲ-22/15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abelyan2000@mail.ru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небольшого крана и небольшого трактора для нужд муниципалитета Каджаран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բազմաճախարակ (ամբարձիչ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տրակտորներ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81313D">
        <w:rPr>
          <w:rFonts w:ascii="Calibri" w:hAnsi="Calibri"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Pr>
          <w:rFonts w:ascii="Calibri" w:hAnsi="Calibr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sidRPr="0081313D">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421.03</w:t>
      </w:r>
      <w:r>
        <w:rPr>
          <w:rFonts w:ascii="Calibri" w:hAnsi="Calibri" w:cstheme="minorHAnsi"/>
          <w:szCs w:val="22"/>
        </w:rPr>
        <w:t xml:space="preserve"> драмом, российский рубль </w:t>
      </w:r>
      <w:r>
        <w:rPr>
          <w:rFonts w:ascii="Calibri" w:hAnsi="Calibri" w:cstheme="minorHAnsi"/>
          <w:lang w:val="af-ZA"/>
        </w:rPr>
        <w:t>7.51</w:t>
      </w:r>
      <w:r>
        <w:rPr>
          <w:rFonts w:ascii="Calibri" w:hAnsi="Calibri" w:cstheme="minorHAnsi"/>
          <w:szCs w:val="22"/>
        </w:rPr>
        <w:t xml:space="preserve"> драмом, евро </w:t>
      </w:r>
      <w:r>
        <w:rPr>
          <w:rFonts w:ascii="Calibri" w:hAnsi="Calibri" w:cstheme="minorHAnsi"/>
          <w:lang w:val="af-ZA"/>
        </w:rPr>
        <w:t>443.47</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2022.07.06.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8.8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При этом, если: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EC5CA5">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lastRenderedPageBreak/>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EC5CA5">
      <w:pPr>
        <w:pStyle w:val="norm"/>
        <w:widowControl w:val="0"/>
        <w:tabs>
          <w:tab w:val="left" w:pos="1276"/>
        </w:tabs>
        <w:spacing w:line="240" w:lineRule="auto"/>
        <w:ind w:firstLine="567"/>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w:t>
      </w:r>
      <w:r w:rsidR="00B21280">
        <w:rPr>
          <w:rFonts w:ascii="Calibri" w:eastAsia="Times New Roman" w:hAnsi="Calibri" w:cstheme="minorHAnsi"/>
          <w:lang w:val="hy-AM" w:eastAsia="ru-RU" w:bidi="ru-RU"/>
        </w:rPr>
        <w:t xml:space="preserve"> </w:t>
      </w:r>
      <w:r w:rsidRPr="008C65F2">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8C65F2">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w:t>
      </w:r>
      <w:r w:rsidR="00917534" w:rsidRPr="00917534">
        <w:rPr>
          <w:rFonts w:ascii="Calibri" w:hAnsi="Calibri" w:cstheme="minorHAnsi"/>
          <w:lang w:val="ru-RU"/>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lang w:val="ru-RU"/>
        </w:rPr>
        <w:t xml:space="preserve"> </w:t>
      </w:r>
      <w:r w:rsidR="00361B4D" w:rsidRPr="00361B4D">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866F85">
      <w:pPr>
        <w:widowControl w:val="0"/>
        <w:tabs>
          <w:tab w:val="left" w:pos="1276"/>
        </w:tabs>
        <w:spacing w:line="240" w:lineRule="auto"/>
        <w:ind w:firstLine="567"/>
        <w:rPr>
          <w:rFonts w:ascii="Calibri" w:hAnsi="Calibri" w:cstheme="minorHAnsi"/>
          <w:lang w:val="ru-RU"/>
        </w:rPr>
      </w:pPr>
      <w:r w:rsidRPr="00361B4D">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Каждое лицо, до крайнего срока подачи заявок, имеет право обжаловать характеристики </w:t>
      </w:r>
      <w:r w:rsidRPr="00926570">
        <w:rPr>
          <w:rFonts w:ascii="Calibri" w:hAnsi="Calibri" w:cstheme="minorHAnsi"/>
          <w:lang w:val="ru-RU"/>
        </w:rPr>
        <w:lastRenderedPageBreak/>
        <w:t>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w:t>
      </w:r>
      <w:r w:rsidRPr="00926570">
        <w:rPr>
          <w:rFonts w:ascii="Calibri" w:hAnsi="Calibri" w:cstheme="minorHAnsi"/>
          <w:lang w:val="ru-RU"/>
        </w:rPr>
        <w:lastRenderedPageBreak/>
        <w:t>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lastRenderedPageBreak/>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ՔՀ-ԷԱՃԱՊՁԲ-22/15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 Каджарана</w:t>
      </w:r>
      <w:r>
        <w:rPr>
          <w:rFonts w:ascii="Calibri" w:hAnsi="Calibri" w:cstheme="minorHAnsi"/>
          <w:lang w:val="ru-RU"/>
        </w:rPr>
        <w:t xml:space="preserve"> под кодом </w:t>
      </w:r>
      <w:r>
        <w:rPr>
          <w:rFonts w:ascii="Calibri" w:hAnsi="Calibri" w:cstheme="minorHAnsi"/>
          <w:lang w:val="af-ZA"/>
        </w:rPr>
        <w:t>ՔՀ-ԷԱՃԱՊՁԲ-22/15</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ՔՀ-ԷԱՃԱՊՁԲ-22/15</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91118">
        <w:rPr>
          <w:lang w:val="ru-RU"/>
        </w:rPr>
        <w:t xml:space="preserve"> </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ind w:left="993" w:hanging="851"/>
              <w:rPr>
                <w:rFonts w:ascii="GHEA Grapalat" w:eastAsia="GHEA Grapalat" w:hAnsi="GHEA Grapalat" w:cs="GHEA Grapalat"/>
              </w:rPr>
            </w:pPr>
          </w:p>
        </w:tc>
      </w:tr>
      <w:tr w:rsidR="00C91118" w:rsidRPr="00C91118" w:rsidTr="00C86A49">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становления реальным бенефициаром</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C86A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C91118" w:rsidTr="00C86A49">
        <w:tc>
          <w:tcPr>
            <w:tcW w:w="9016" w:type="dxa"/>
            <w:shd w:val="clear" w:color="auto" w:fill="DBE5F1" w:themeFill="accent1" w:themeFillTint="33"/>
          </w:tcPr>
          <w:p w:rsidR="00C91118" w:rsidRPr="00FD1EE4" w:rsidRDefault="00C91118" w:rsidP="00C86A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C86A49">
        <w:trPr>
          <w:trHeight w:val="10187"/>
        </w:trPr>
        <w:tc>
          <w:tcPr>
            <w:tcW w:w="9016" w:type="dxa"/>
          </w:tcPr>
          <w:p w:rsidR="00C91118" w:rsidRPr="00FD1EE4" w:rsidRDefault="00C91118" w:rsidP="00C86A49">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w:t>
      </w:r>
      <w:r w:rsidRPr="00C91118">
        <w:rPr>
          <w:rFonts w:cstheme="minorHAnsi"/>
          <w:color w:val="000000" w:themeColor="text1"/>
          <w:lang w:val="ru-RU"/>
        </w:rPr>
        <w:lastRenderedPageBreak/>
        <w:t>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rsidR="00C91118" w:rsidRPr="005C5BB6" w:rsidRDefault="00C91118" w:rsidP="00C91118">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91118" w:rsidRPr="005C5BB6" w:rsidRDefault="00C91118" w:rsidP="00C91118">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"ՔՀ-ԷԱՃԱՊՁԲ-22/15"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Муниципалитет г. Каджарана*(далее — Заказчик) процедуре закупок под кодом ՔՀ-ԷԱՃԱՊՁԲ-22/15*.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Каджарана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- 900312622021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"ՔՀ-ԷԱՃԱՊՁԲ-22/15"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Муниципалитет г. Каджарана*(далее — Заказчик) процедуре закупок под кодом ՔՀ-ԷԱՃԱՊՁԲ-22/15*.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Каджарана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- 900312622021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ՔՀ-ԷԱՃԱՊՁԲ-22/15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42141180/1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բազմաճախարակ (ամբարձիչ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Անվավոր
Շերեփի ծավալը՝ 0,4-0,5 մ3 
Բարձումը՝ ճակատային
Ամբարձման բարձրությունը՝ 2-3 մ
Շարժիչը՝ դիզելային
Մեքենավարի խցիկը՝ փակ, անվտանգության ցանցերով
Արագությունը՝ 10 կմ/ժ
       Ամբարձիչը պետք է նախատեսված լինի կոմունալ աշխատանքներ իրականացնելու համար՝ փողոցների և բակերի սանիտարական մաքրում, ավելվածքների և շինաղբի բարձում, մայթերի և բակերի մաքրում ձյան շերտից, ինժեներական ենթակառուցվածքների վերանորոգում և այլն: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Անվավոր, 4x4
Շարժիչը ՝ դիզելային, հզորությունը՝ 80 ձ.ուժ « 
Դիմային հարթաշերեփով
Խոզանակ՝ լվացող համակարգով
Վարորդի խցիկը՝ փակ
Հետին կցորդիչով
Պարզ՝ շահագործման, սպասարկման և վերանո¬րոգ¬ման առումով
Տրակտորը պետք է նախատեսված լինի կոմունալ տնտեսության կարիքների համար՝ ճանապարհների և փողոցների մաքրում ձյան շերտից, փողոցների խոզանակում, փոքր ծավալի շինարարական աշխատանքներ, կանաչ տնկարկների խնամք, բեռների տեղափոխում: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25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25 օրացուցային օր հետո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42141180/1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բազմաճախարակ (ամբարձիչ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B4" w:rsidRDefault="00403EB4" w:rsidP="00FE3FF0">
      <w:pPr>
        <w:spacing w:line="240" w:lineRule="auto"/>
      </w:pPr>
      <w:r>
        <w:separator/>
      </w:r>
    </w:p>
  </w:endnote>
  <w:endnote w:type="continuationSeparator" w:id="0">
    <w:p w:rsidR="00403EB4" w:rsidRDefault="00403EB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B4" w:rsidRDefault="00403EB4" w:rsidP="00FE3FF0">
      <w:pPr>
        <w:spacing w:line="240" w:lineRule="auto"/>
      </w:pPr>
      <w:r>
        <w:separator/>
      </w:r>
    </w:p>
  </w:footnote>
  <w:footnote w:type="continuationSeparator" w:id="0">
    <w:p w:rsidR="00403EB4" w:rsidRDefault="00403EB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81313D"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B21280" w:rsidRPr="00B21280" w:rsidRDefault="00F2524D"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sidR="00B21280">
        <w:rPr>
          <w:rFonts w:ascii="Calibri" w:hAnsi="Calibri"/>
          <w:i/>
          <w:sz w:val="16"/>
          <w:szCs w:val="16"/>
          <w:lang w:val="ru-RU"/>
        </w:rPr>
        <w:t>Е</w:t>
      </w:r>
      <w:r w:rsidR="00B21280"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B21280" w:rsidRP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F2524D" w:rsidRDefault="00F2524D" w:rsidP="00CE263D">
      <w:pPr>
        <w:pStyle w:val="FootnoteText"/>
        <w:jc w:val="both"/>
        <w:rPr>
          <w:rFonts w:ascii="Calibri" w:hAnsi="Calibri"/>
          <w:sz w:val="16"/>
          <w:szCs w:val="16"/>
          <w:lang w:val="ru-RU"/>
        </w:rPr>
      </w:pPr>
    </w:p>
  </w:footnote>
  <w:footnote w:id="6">
    <w:p w:rsidR="00F2524D" w:rsidRDefault="00F2524D" w:rsidP="006C39BF">
      <w:pPr>
        <w:pStyle w:val="FootnoteText"/>
        <w:jc w:val="both"/>
        <w:rPr>
          <w:rFonts w:ascii="Calibri" w:hAnsi="Calibri"/>
          <w:lang w:val="ru-RU"/>
        </w:rPr>
      </w:pP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91118" w:rsidRPr="003351D2" w:rsidRDefault="00C91118" w:rsidP="00C91118">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91118" w:rsidRPr="003351D2" w:rsidRDefault="00C91118" w:rsidP="00C91118">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91118" w:rsidRPr="003351D2" w:rsidRDefault="00C91118" w:rsidP="00C91118">
      <w:pPr>
        <w:rPr>
          <w:rFonts w:ascii="GHEA Grapalat" w:hAnsi="GHEA Grapalat"/>
          <w:i/>
          <w:sz w:val="20"/>
          <w:szCs w:val="20"/>
          <w:lang w:val="ru-RU"/>
        </w:rPr>
      </w:pPr>
      <w:r w:rsidRPr="003351D2">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91118" w:rsidRPr="00B233FE" w:rsidRDefault="00C91118" w:rsidP="00C91118">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91118" w:rsidRPr="003351D2" w:rsidRDefault="00C91118" w:rsidP="00C91118">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91118" w:rsidRPr="003351D2" w:rsidRDefault="00C91118" w:rsidP="00C91118">
      <w:pPr>
        <w:rPr>
          <w:rFonts w:ascii="GHEA Grapalat" w:hAnsi="GHEA Grapalat"/>
          <w:i/>
          <w:sz w:val="20"/>
          <w:szCs w:val="20"/>
          <w:lang w:val="ru-RU"/>
        </w:rPr>
      </w:pPr>
    </w:p>
  </w:footnote>
  <w:footnote w:id="9">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2524D" w:rsidRPr="00201C5E" w:rsidRDefault="00F2524D" w:rsidP="004E0201">
      <w:pPr>
        <w:pStyle w:val="FootnoteText"/>
        <w:widowControl w:val="0"/>
        <w:jc w:val="both"/>
        <w:rPr>
          <w:rFonts w:ascii="Calibri" w:hAnsi="Calibri"/>
          <w:i/>
          <w:sz w:val="18"/>
          <w:lang w:val="ru-RU"/>
        </w:rPr>
      </w:pPr>
    </w:p>
  </w:footnote>
  <w:footnote w:id="18">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3EB4"/>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327CB"/>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62</Pages>
  <Words>16006</Words>
  <Characters>91238</Characters>
  <Application>Microsoft Office Word</Application>
  <DocSecurity>0</DocSecurity>
  <Lines>760</Lines>
  <Paragraphs>214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260</cp:revision>
  <dcterms:created xsi:type="dcterms:W3CDTF">2021-01-24T19:37:00Z</dcterms:created>
  <dcterms:modified xsi:type="dcterms:W3CDTF">2022-06-03T13:24:00Z</dcterms:modified>
</cp:coreProperties>
</file>