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06A9C29D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D95351">
        <w:rPr>
          <w:rFonts w:ascii="GHEA Grapalat" w:hAnsi="GHEA Grapalat"/>
          <w:sz w:val="20"/>
          <w:lang w:val="af-ZA"/>
        </w:rPr>
        <w:t>25/175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094109B6" w:rsidR="00C82511" w:rsidRPr="00D95351" w:rsidRDefault="00C82511" w:rsidP="00D95351">
      <w:pPr>
        <w:ind w:firstLine="720"/>
        <w:jc w:val="both"/>
        <w:rPr>
          <w:rFonts w:ascii="GHEA Grapalat" w:hAnsi="GHEA Grapalat"/>
          <w:b/>
          <w:bCs/>
          <w:i/>
          <w:iCs/>
          <w:sz w:val="20"/>
          <w:lang w:val="hy-AM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D95351" w:rsidRPr="00D95351">
        <w:rPr>
          <w:rFonts w:ascii="GHEA Grapalat" w:hAnsi="GHEA Grapalat"/>
          <w:b/>
          <w:bCs/>
          <w:sz w:val="20"/>
          <w:lang w:val="hy-AM"/>
        </w:rPr>
        <w:t>Երևան քաղաքի</w:t>
      </w:r>
      <w:r w:rsidR="00D95351" w:rsidRPr="00D95351">
        <w:rPr>
          <w:rFonts w:ascii="GHEA Grapalat" w:hAnsi="GHEA Grapalat"/>
          <w:sz w:val="20"/>
          <w:lang w:val="hy-AM"/>
        </w:rPr>
        <w:t xml:space="preserve"> </w:t>
      </w:r>
      <w:r w:rsidR="00D95351" w:rsidRPr="00D95351">
        <w:rPr>
          <w:rFonts w:ascii="GHEA Grapalat" w:hAnsi="GHEA Grapalat"/>
          <w:b/>
          <w:bCs/>
          <w:iCs/>
          <w:sz w:val="20"/>
          <w:lang w:val="hy-AM"/>
        </w:rPr>
        <w:t>Մալաթիա-Սեբաստիա վարչական շրջանի Սեբաստիա փողոցից դեպի «Եռաբլուր պանթեոն» տանող ճանապարհի կամարանցումի տրավերտինե սալապատված տարածքի վերակառուցման աշխատանքների և Սվաճյան փող</w:t>
      </w:r>
      <w:r w:rsidR="00D95351" w:rsidRPr="00D95351">
        <w:rPr>
          <w:rFonts w:ascii="MS Mincho" w:eastAsia="MS Mincho" w:hAnsi="MS Mincho" w:cs="MS Mincho" w:hint="eastAsia"/>
          <w:b/>
          <w:bCs/>
          <w:iCs/>
          <w:sz w:val="20"/>
          <w:lang w:val="hy-AM"/>
        </w:rPr>
        <w:t>․</w:t>
      </w:r>
      <w:r w:rsidR="00D95351" w:rsidRPr="00D95351">
        <w:rPr>
          <w:rFonts w:ascii="GHEA Grapalat" w:hAnsi="GHEA Grapalat"/>
          <w:b/>
          <w:bCs/>
          <w:iCs/>
          <w:sz w:val="20"/>
          <w:lang w:val="hy-AM"/>
        </w:rPr>
        <w:t xml:space="preserve"> հ</w:t>
      </w:r>
      <w:r w:rsidR="00D95351" w:rsidRPr="00D95351">
        <w:rPr>
          <w:rFonts w:ascii="MS Mincho" w:eastAsia="MS Mincho" w:hAnsi="MS Mincho" w:cs="MS Mincho" w:hint="eastAsia"/>
          <w:b/>
          <w:bCs/>
          <w:iCs/>
          <w:sz w:val="20"/>
          <w:lang w:val="hy-AM"/>
        </w:rPr>
        <w:t>․</w:t>
      </w:r>
      <w:r w:rsidR="00D95351" w:rsidRPr="00D95351">
        <w:rPr>
          <w:rFonts w:ascii="GHEA Grapalat" w:hAnsi="GHEA Grapalat"/>
          <w:b/>
          <w:bCs/>
          <w:iCs/>
          <w:sz w:val="20"/>
          <w:lang w:val="hy-AM"/>
        </w:rPr>
        <w:t xml:space="preserve"> 38 շենքի դիմացի բակում խաղադաշտի կառուցման աշխատանքների հեղինակային հսկողության ծառայությունների</w:t>
      </w:r>
      <w:r w:rsidR="00D95351">
        <w:rPr>
          <w:rFonts w:ascii="GHEA Grapalat" w:hAnsi="GHEA Grapalat"/>
          <w:b/>
          <w:bCs/>
          <w:i/>
          <w:iCs/>
          <w:sz w:val="20"/>
          <w:lang w:val="hy-AM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D95351">
        <w:rPr>
          <w:rFonts w:ascii="GHEA Grapalat" w:hAnsi="GHEA Grapalat" w:cs="Sylfaen"/>
          <w:sz w:val="20"/>
          <w:szCs w:val="18"/>
          <w:lang w:val="hy-AM"/>
        </w:rPr>
        <w:t>25/175</w:t>
      </w:r>
      <w:r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3DD3D3C3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780E59">
        <w:rPr>
          <w:rFonts w:ascii="GHEA Grapalat" w:hAnsi="GHEA Grapalat" w:cs="Sylfaen"/>
          <w:b w:val="0"/>
          <w:sz w:val="20"/>
          <w:szCs w:val="18"/>
          <w:lang w:val="hy-AM"/>
        </w:rPr>
        <w:t>5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D95351">
        <w:rPr>
          <w:rFonts w:ascii="GHEA Grapalat" w:hAnsi="GHEA Grapalat" w:cs="Sylfaen"/>
          <w:b w:val="0"/>
          <w:sz w:val="20"/>
          <w:szCs w:val="18"/>
          <w:lang w:val="hy-AM"/>
        </w:rPr>
        <w:t>հոկտեմբերի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D95351">
        <w:rPr>
          <w:rFonts w:ascii="GHEA Grapalat" w:hAnsi="GHEA Grapalat" w:cs="Sylfaen"/>
          <w:b w:val="0"/>
          <w:sz w:val="20"/>
          <w:szCs w:val="18"/>
          <w:lang w:val="hy-AM"/>
        </w:rPr>
        <w:t>8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117D8C95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D95351">
        <w:rPr>
          <w:rFonts w:ascii="GHEA Grapalat" w:hAnsi="GHEA Grapalat"/>
          <w:sz w:val="20"/>
          <w:lang w:val="af-ZA"/>
        </w:rPr>
        <w:t>25/175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2B309514" w14:textId="63E17B15" w:rsidR="00C82511" w:rsidRPr="00E17584" w:rsidRDefault="00C82511" w:rsidP="00C82511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sz w:val="20"/>
          <w:lang w:val="af-ZA"/>
        </w:rPr>
        <w:t>ԵՔ-ՄԱԾՁԲ-</w:t>
      </w:r>
      <w:r w:rsidR="00D95351">
        <w:rPr>
          <w:rFonts w:ascii="GHEA Grapalat" w:hAnsi="GHEA Grapalat"/>
          <w:sz w:val="20"/>
          <w:lang w:val="af-ZA"/>
        </w:rPr>
        <w:t>25/175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Услуги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по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надзору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за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реконструкцией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вымощенной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травертином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территории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арки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дороги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,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ведущей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от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улицы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Себастия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к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«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Пантеону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Ераблур»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в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административном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районе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Малатия</w:t>
      </w:r>
      <w:r w:rsidR="00D95351" w:rsidRPr="00D95351">
        <w:rPr>
          <w:rFonts w:ascii="GHEA Grapalat" w:hAnsi="GHEA Grapalat"/>
          <w:b/>
          <w:sz w:val="20"/>
          <w:lang w:val="ru-RU"/>
        </w:rPr>
        <w:t>-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Себастия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города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Еревана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,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строительством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детской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площадки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во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дворе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перед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зданием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по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адресу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улица</w:t>
      </w:r>
      <w:r w:rsidR="00D95351" w:rsidRPr="00D95351">
        <w:rPr>
          <w:rFonts w:ascii="GHEA Grapalat" w:hAnsi="GHEA Grapalat"/>
          <w:b/>
          <w:sz w:val="20"/>
          <w:lang w:val="ru-RU"/>
        </w:rPr>
        <w:t xml:space="preserve"> </w:t>
      </w:r>
      <w:r w:rsidR="00D95351" w:rsidRPr="00D95351">
        <w:rPr>
          <w:rFonts w:ascii="GHEA Grapalat" w:hAnsi="GHEA Grapalat" w:hint="eastAsia"/>
          <w:b/>
          <w:sz w:val="20"/>
          <w:lang w:val="ru-RU"/>
        </w:rPr>
        <w:t>Свачяна</w:t>
      </w:r>
      <w:r w:rsidR="00D95351" w:rsidRPr="00D95351">
        <w:rPr>
          <w:rFonts w:ascii="GHEA Grapalat" w:hAnsi="GHEA Grapalat"/>
          <w:b/>
          <w:sz w:val="20"/>
          <w:lang w:val="ru-RU"/>
        </w:rPr>
        <w:t>, 38</w:t>
      </w:r>
      <w:r w:rsidR="00AD2355" w:rsidRPr="00AD2355">
        <w:rPr>
          <w:rFonts w:ascii="GHEA Grapalat" w:hAnsi="GHEA Grapalat"/>
          <w:b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для своих </w:t>
      </w:r>
      <w:r w:rsidRPr="00E17584">
        <w:rPr>
          <w:rFonts w:ascii="GHEA Grapalat" w:hAnsi="GHEA Grapalat"/>
          <w:sz w:val="20"/>
          <w:lang w:val="ru-RU"/>
        </w:rPr>
        <w:t>нужд:</w:t>
      </w:r>
    </w:p>
    <w:p w14:paraId="01D3E222" w14:textId="1DF1E35E" w:rsidR="00C82511" w:rsidRPr="002404CB" w:rsidRDefault="00C82511" w:rsidP="00C8251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D95351">
        <w:rPr>
          <w:rFonts w:ascii="GHEA Grapalat" w:hAnsi="GHEA Grapalat"/>
          <w:sz w:val="20"/>
          <w:lang w:val="hy-AM"/>
        </w:rPr>
        <w:t>08.10</w:t>
      </w:r>
      <w:r w:rsidR="00780E59">
        <w:rPr>
          <w:rFonts w:ascii="GHEA Grapalat" w:hAnsi="GHEA Grapalat"/>
          <w:sz w:val="20"/>
          <w:lang w:val="hy-AM"/>
        </w:rPr>
        <w:t>.2025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896D8DE" w14:textId="77777777" w:rsidR="00C82511" w:rsidRPr="009F5568" w:rsidRDefault="00C82511" w:rsidP="00C825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9D080A1" w14:textId="383EEB85" w:rsidR="00780E59" w:rsidRPr="00E67DB9" w:rsidRDefault="00C82511" w:rsidP="00780E59">
      <w:pPr>
        <w:framePr w:hSpace="180" w:wrap="around" w:vAnchor="text" w:hAnchor="margin" w:y="214"/>
        <w:jc w:val="center"/>
        <w:rPr>
          <w:rFonts w:ascii="GHEA Grapalat" w:hAnsi="GHEA Grapalat" w:cs="Calibri"/>
          <w:b/>
          <w:bCs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="00E67DB9" w:rsidRPr="002404C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E67DB9" w:rsidRPr="00E67DB9">
        <w:rPr>
          <w:rFonts w:ascii="GHEA Grapalat" w:hAnsi="GHEA Grapalat"/>
          <w:b/>
          <w:bCs/>
          <w:sz w:val="16"/>
          <w:szCs w:val="16"/>
          <w:lang w:val="hy-AM"/>
        </w:rPr>
        <w:t>Երևան քաղաքի</w:t>
      </w:r>
      <w:r w:rsidR="00E67DB9" w:rsidRPr="00E67DB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67DB9" w:rsidRPr="00E67DB9">
        <w:rPr>
          <w:rFonts w:ascii="GHEA Grapalat" w:hAnsi="GHEA Grapalat"/>
          <w:b/>
          <w:bCs/>
          <w:iCs/>
          <w:sz w:val="16"/>
          <w:szCs w:val="16"/>
          <w:lang w:val="hy-AM"/>
        </w:rPr>
        <w:t>Մալաթիա-Սեբաստիա վարչական շրջանի Սեբաստիա փողոցից դեպի «Եռաբլուր պանթեոն» տանող ճանապարհի կամարանցումի տրավերտինե սալապատված տարածքի վերակառուցման աշխատանքների և Սվաճյան փող</w:t>
      </w:r>
      <w:r w:rsidR="00E67DB9" w:rsidRPr="00E67DB9">
        <w:rPr>
          <w:rFonts w:ascii="MS Mincho" w:eastAsia="MS Mincho" w:hAnsi="MS Mincho" w:cs="MS Mincho" w:hint="eastAsia"/>
          <w:b/>
          <w:bCs/>
          <w:iCs/>
          <w:sz w:val="16"/>
          <w:szCs w:val="16"/>
          <w:lang w:val="hy-AM"/>
        </w:rPr>
        <w:t>․</w:t>
      </w:r>
      <w:r w:rsidR="00E67DB9" w:rsidRPr="00E67DB9">
        <w:rPr>
          <w:rFonts w:ascii="GHEA Grapalat" w:hAnsi="GHEA Grapalat"/>
          <w:b/>
          <w:bCs/>
          <w:iCs/>
          <w:sz w:val="16"/>
          <w:szCs w:val="16"/>
          <w:lang w:val="hy-AM"/>
        </w:rPr>
        <w:t xml:space="preserve"> հ</w:t>
      </w:r>
      <w:r w:rsidR="00E67DB9" w:rsidRPr="00E67DB9">
        <w:rPr>
          <w:rFonts w:ascii="MS Mincho" w:eastAsia="MS Mincho" w:hAnsi="MS Mincho" w:cs="MS Mincho" w:hint="eastAsia"/>
          <w:b/>
          <w:bCs/>
          <w:iCs/>
          <w:sz w:val="16"/>
          <w:szCs w:val="16"/>
          <w:lang w:val="hy-AM"/>
        </w:rPr>
        <w:t>․</w:t>
      </w:r>
      <w:r w:rsidR="00E67DB9" w:rsidRPr="00E67DB9">
        <w:rPr>
          <w:rFonts w:ascii="GHEA Grapalat" w:hAnsi="GHEA Grapalat"/>
          <w:b/>
          <w:bCs/>
          <w:iCs/>
          <w:sz w:val="16"/>
          <w:szCs w:val="16"/>
          <w:lang w:val="hy-AM"/>
        </w:rPr>
        <w:t xml:space="preserve"> 38 շենքի դիմացի բակում խաղադաշտի կառուցման աշխատանքների հեղինակային հսկողության ծառայություններ</w:t>
      </w:r>
    </w:p>
    <w:p w14:paraId="7B499DF5" w14:textId="57F6E831" w:rsidR="00C82511" w:rsidRPr="00E67DB9" w:rsidRDefault="00E67DB9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Услуги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по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надзору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за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реконструкцией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вымощенной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травертином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территории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арки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дороги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,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ведущей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от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улицы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Себастия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к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«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Пантеону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Ераблур»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в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административном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районе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Малатия</w:t>
      </w:r>
      <w:r w:rsidRPr="00E67DB9">
        <w:rPr>
          <w:rFonts w:ascii="GHEA Grapalat" w:hAnsi="GHEA Grapalat"/>
          <w:b/>
          <w:sz w:val="18"/>
          <w:szCs w:val="18"/>
          <w:lang w:val="ru-RU"/>
        </w:rPr>
        <w:t>-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Себастия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города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Еревана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,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строительством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детской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площадки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во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дворе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перед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зданием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по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адресу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улица</w:t>
      </w:r>
      <w:r w:rsidRPr="00E67DB9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E67DB9">
        <w:rPr>
          <w:rFonts w:ascii="GHEA Grapalat" w:hAnsi="GHEA Grapalat" w:hint="eastAsia"/>
          <w:b/>
          <w:sz w:val="18"/>
          <w:szCs w:val="18"/>
          <w:lang w:val="ru-RU"/>
        </w:rPr>
        <w:t>Свачяна</w:t>
      </w:r>
      <w:r w:rsidRPr="00E67DB9">
        <w:rPr>
          <w:rFonts w:ascii="GHEA Grapalat" w:hAnsi="GHEA Grapalat"/>
          <w:b/>
          <w:sz w:val="18"/>
          <w:szCs w:val="18"/>
          <w:lang w:val="ru-RU"/>
        </w:rPr>
        <w:t>, 38</w:t>
      </w:r>
      <w:r w:rsidR="00C82511" w:rsidRPr="00E67DB9">
        <w:rPr>
          <w:rFonts w:ascii="GHEA Grapalat" w:hAnsi="GHEA Grapalat" w:cs="Sylfaen"/>
          <w:b/>
          <w:sz w:val="18"/>
          <w:szCs w:val="18"/>
          <w:lang w:val="af-ZA"/>
        </w:rPr>
        <w:t xml:space="preserve">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97"/>
        <w:gridCol w:w="2070"/>
        <w:gridCol w:w="2520"/>
        <w:gridCol w:w="2250"/>
      </w:tblGrid>
      <w:tr w:rsidR="00C82511" w:rsidRPr="000721A7" w14:paraId="25E1F9D1" w14:textId="77777777" w:rsidTr="00817D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817DC2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0AA1A634" w14:textId="59ED2148" w:rsidR="009C5B6E" w:rsidRPr="009C5B6E" w:rsidRDefault="009C5B6E" w:rsidP="00817DC2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9C5B6E">
              <w:rPr>
                <w:rFonts w:ascii="GHEA Grapalat" w:hAnsi="GHEA Grapalat" w:cs="Times Armenian"/>
                <w:sz w:val="20"/>
                <w:lang w:val="af-ZA"/>
              </w:rPr>
              <w:t>«</w:t>
            </w:r>
            <w:r w:rsidR="00E67DB9">
              <w:rPr>
                <w:rFonts w:ascii="GHEA Grapalat" w:hAnsi="GHEA Grapalat" w:cs="Times Armenian"/>
                <w:sz w:val="20"/>
                <w:lang w:val="hy-AM"/>
              </w:rPr>
              <w:t>ԿԱՊԻՏԱԼ ԴԻԶԱՅՆ</w:t>
            </w:r>
            <w:r w:rsidR="00E67DB9" w:rsidRPr="009C5B6E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9C5B6E">
              <w:rPr>
                <w:rFonts w:ascii="GHEA Grapalat" w:hAnsi="GHEA Grapalat" w:cs="Times Armenian"/>
                <w:sz w:val="20"/>
                <w:lang w:val="af-ZA"/>
              </w:rPr>
              <w:t xml:space="preserve">» ՍՊԸ </w:t>
            </w:r>
          </w:p>
          <w:p w14:paraId="3C3FCC3B" w14:textId="244BBD00" w:rsidR="00C82511" w:rsidRPr="00AD2355" w:rsidRDefault="009C5B6E" w:rsidP="00817DC2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9C5B6E">
              <w:rPr>
                <w:rFonts w:ascii="GHEA Grapalat" w:hAnsi="GHEA Grapalat" w:cs="Times Armenian" w:hint="eastAsia"/>
                <w:sz w:val="20"/>
                <w:lang w:val="af-ZA"/>
              </w:rPr>
              <w:t>ООО</w:t>
            </w:r>
            <w:r w:rsidRPr="009C5B6E">
              <w:rPr>
                <w:rFonts w:ascii="GHEA Grapalat" w:hAnsi="GHEA Grapalat" w:cs="Times Armenian"/>
                <w:sz w:val="20"/>
                <w:lang w:val="af-ZA"/>
              </w:rPr>
              <w:t xml:space="preserve"> «</w:t>
            </w:r>
            <w:r w:rsidR="00E67DB9" w:rsidRPr="00817DC2">
              <w:rPr>
                <w:rFonts w:hint="eastAsia"/>
                <w:lang w:val="af-ZA"/>
              </w:rPr>
              <w:t xml:space="preserve"> </w:t>
            </w:r>
            <w:r w:rsidR="00817DC2">
              <w:rPr>
                <w:rFonts w:ascii="GHEA Grapalat" w:hAnsi="GHEA Grapalat" w:cs="Times Armenian" w:hint="eastAsia"/>
                <w:sz w:val="20"/>
                <w:lang w:val="af-ZA"/>
              </w:rPr>
              <w:t>КАПИТАЛ</w:t>
            </w:r>
            <w:r w:rsidR="00E67DB9" w:rsidRPr="00E67DB9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E67DB9" w:rsidRPr="00E67DB9">
              <w:rPr>
                <w:rFonts w:ascii="GHEA Grapalat" w:hAnsi="GHEA Grapalat" w:cs="Times Armenian" w:hint="eastAsia"/>
                <w:sz w:val="20"/>
                <w:lang w:val="af-ZA"/>
              </w:rPr>
              <w:t>ДИЗАЙН</w:t>
            </w:r>
            <w:r w:rsidR="00E67DB9" w:rsidRPr="009C5B6E">
              <w:rPr>
                <w:rFonts w:ascii="GHEA Grapalat" w:hAnsi="GHEA Grapalat" w:cs="Times Armenian" w:hint="eastAsia"/>
                <w:sz w:val="20"/>
                <w:lang w:val="af-ZA"/>
              </w:rPr>
              <w:t>»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372AC0" w14:paraId="2D7C694B" w14:textId="77777777" w:rsidTr="009168B7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BB4CCAC" w14:textId="07FC1A26" w:rsidR="009C5B6E" w:rsidRPr="009C5B6E" w:rsidRDefault="009C5B6E" w:rsidP="009C5B6E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9C5B6E">
              <w:rPr>
                <w:rFonts w:ascii="GHEA Grapalat" w:hAnsi="GHEA Grapalat" w:cs="Times Armenian"/>
                <w:sz w:val="20"/>
                <w:lang w:val="af-ZA"/>
              </w:rPr>
              <w:t>«</w:t>
            </w:r>
            <w:r w:rsidR="00E67DB9">
              <w:rPr>
                <w:rFonts w:ascii="GHEA Grapalat" w:hAnsi="GHEA Grapalat" w:cs="Times Armenian"/>
                <w:sz w:val="20"/>
                <w:lang w:val="hy-AM"/>
              </w:rPr>
              <w:t>ԿԱՊԻՏԱԼ ԴԻԶԱՅՆ</w:t>
            </w:r>
            <w:bookmarkStart w:id="0" w:name="_GoBack"/>
            <w:bookmarkEnd w:id="0"/>
            <w:r w:rsidRPr="009C5B6E">
              <w:rPr>
                <w:rFonts w:ascii="GHEA Grapalat" w:hAnsi="GHEA Grapalat" w:cs="Times Armenian"/>
                <w:sz w:val="20"/>
                <w:lang w:val="af-ZA"/>
              </w:rPr>
              <w:t xml:space="preserve">» ՍՊԸ </w:t>
            </w:r>
          </w:p>
          <w:p w14:paraId="4A153D31" w14:textId="109C29D4" w:rsidR="00C82511" w:rsidRPr="00E67DB9" w:rsidRDefault="009C5B6E" w:rsidP="00E67DB9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9C5B6E">
              <w:rPr>
                <w:rFonts w:ascii="GHEA Grapalat" w:hAnsi="GHEA Grapalat" w:cs="Times Armenian" w:hint="eastAsia"/>
                <w:sz w:val="20"/>
                <w:lang w:val="af-ZA"/>
              </w:rPr>
              <w:t>ООО</w:t>
            </w:r>
            <w:r w:rsidRPr="009C5B6E">
              <w:rPr>
                <w:rFonts w:ascii="GHEA Grapalat" w:hAnsi="GHEA Grapalat" w:cs="Times Armenian"/>
                <w:sz w:val="20"/>
                <w:lang w:val="af-ZA"/>
              </w:rPr>
              <w:t xml:space="preserve"> «</w:t>
            </w:r>
            <w:r w:rsidR="00372AC0">
              <w:rPr>
                <w:rFonts w:ascii="GHEA Grapalat" w:hAnsi="GHEA Grapalat" w:cs="Times Armenian" w:hint="eastAsia"/>
                <w:sz w:val="20"/>
                <w:lang w:val="af-ZA"/>
              </w:rPr>
              <w:t xml:space="preserve"> КАПИТАЛ</w:t>
            </w:r>
            <w:r w:rsidR="00E67DB9" w:rsidRPr="00E67DB9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E67DB9" w:rsidRPr="00E67DB9">
              <w:rPr>
                <w:rFonts w:ascii="GHEA Grapalat" w:hAnsi="GHEA Grapalat" w:cs="Times Armenian" w:hint="eastAsia"/>
                <w:sz w:val="20"/>
                <w:lang w:val="af-ZA"/>
              </w:rPr>
              <w:t>ДИЗАЙН</w:t>
            </w:r>
            <w:r w:rsidR="00E67DB9" w:rsidRPr="009C5B6E">
              <w:rPr>
                <w:rFonts w:ascii="GHEA Grapalat" w:hAnsi="GHEA Grapalat" w:cs="Times Armenian" w:hint="eastAsia"/>
                <w:sz w:val="20"/>
                <w:lang w:val="af-ZA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12A749" w14:textId="623B8C8F" w:rsidR="00C82511" w:rsidRPr="00E67DB9" w:rsidRDefault="00E67DB9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660300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2AA5EBCE" w14:textId="1C8B4A91" w:rsidR="00C82511" w:rsidRPr="00817DC2" w:rsidRDefault="00C82511" w:rsidP="00817DC2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44B03574" w14:textId="26B86030" w:rsidR="00C82511" w:rsidRPr="00817DC2" w:rsidRDefault="00C82511" w:rsidP="00817D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817DC2">
        <w:rPr>
          <w:rFonts w:ascii="GHEA Grapalat" w:hAnsi="GHEA Grapalat"/>
          <w:sz w:val="20"/>
          <w:lang w:val="af-ZA"/>
        </w:rPr>
        <w:t>25/175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817DC2">
        <w:rPr>
          <w:rFonts w:ascii="GHEA Grapalat" w:hAnsi="GHEA Grapalat" w:cs="Sylfaen"/>
          <w:sz w:val="20"/>
          <w:lang w:val="hy-AM"/>
        </w:rPr>
        <w:t>Է. Քեղինյանին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36FF8453" w14:textId="00BF0824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 w:rsidR="00817DC2">
        <w:rPr>
          <w:rFonts w:ascii="GHEA Grapalat" w:hAnsi="GHEA Grapalat"/>
          <w:sz w:val="20"/>
          <w:lang w:val="hy-AM"/>
        </w:rPr>
        <w:t>-3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1A96752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817DC2" w:rsidRPr="00817DC2">
        <w:rPr>
          <w:rFonts w:ascii="GHEA Grapalat" w:hAnsi="GHEA Grapalat"/>
          <w:sz w:val="20"/>
          <w:lang w:val="hy-AM"/>
        </w:rPr>
        <w:t>elen.qeghinyan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0CE67861" w14:textId="0A4EE9AB" w:rsidR="00C82511" w:rsidRPr="00817DC2" w:rsidRDefault="00C82511" w:rsidP="00817DC2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0A4C6C8" w14:textId="771A13EB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72AC0">
        <w:rPr>
          <w:rFonts w:ascii="GHEA Grapalat" w:hAnsi="GHEA Grapalat"/>
          <w:sz w:val="20"/>
          <w:lang w:val="ru-RU"/>
        </w:rPr>
        <w:t>Э. Кегиняну</w:t>
      </w:r>
      <w:r w:rsidRPr="002404CB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817DC2">
        <w:rPr>
          <w:rFonts w:ascii="GHEA Grapalat" w:hAnsi="GHEA Grapalat"/>
          <w:sz w:val="20"/>
          <w:lang w:val="af-ZA"/>
        </w:rPr>
        <w:t>25/175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7DEE0A29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817DC2">
        <w:rPr>
          <w:rFonts w:ascii="GHEA Grapalat" w:hAnsi="GHEA Grapalat"/>
          <w:lang w:val="hy-AM"/>
        </w:rPr>
        <w:t>316</w:t>
      </w:r>
      <w:r w:rsidRPr="0016415F">
        <w:rPr>
          <w:rFonts w:ascii="GHEA Grapalat" w:hAnsi="GHEA Grapalat"/>
          <w:lang w:val="ru-RU"/>
        </w:rPr>
        <w:t>.</w:t>
      </w:r>
    </w:p>
    <w:p w14:paraId="402F9F2E" w14:textId="00D59394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817DC2" w:rsidRPr="00817DC2">
        <w:rPr>
          <w:rFonts w:ascii="GHEA Grapalat" w:hAnsi="GHEA Grapalat"/>
          <w:lang w:val="hy-AM"/>
        </w:rPr>
        <w:t>elen.qeghinyan</w:t>
      </w:r>
      <w:r w:rsidR="00817DC2" w:rsidRPr="002404CB">
        <w:rPr>
          <w:rFonts w:ascii="GHEA Grapalat" w:hAnsi="GHEA Grapalat"/>
          <w:lang w:val="hy-AM"/>
        </w:rPr>
        <w:t>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94774" w14:textId="77777777" w:rsidR="00FE2161" w:rsidRDefault="00FE2161" w:rsidP="009D3F12">
      <w:r>
        <w:separator/>
      </w:r>
    </w:p>
  </w:endnote>
  <w:endnote w:type="continuationSeparator" w:id="0">
    <w:p w14:paraId="0E73E353" w14:textId="77777777" w:rsidR="00FE2161" w:rsidRDefault="00FE216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00DD9" w14:textId="77777777" w:rsidR="00FE2161" w:rsidRDefault="00FE2161" w:rsidP="009D3F12">
      <w:r>
        <w:separator/>
      </w:r>
    </w:p>
  </w:footnote>
  <w:footnote w:type="continuationSeparator" w:id="0">
    <w:p w14:paraId="5429A572" w14:textId="77777777" w:rsidR="00FE2161" w:rsidRDefault="00FE216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A4FBA"/>
    <w:rsid w:val="002E1AA3"/>
    <w:rsid w:val="002E283B"/>
    <w:rsid w:val="002F3F68"/>
    <w:rsid w:val="00326CDB"/>
    <w:rsid w:val="00361368"/>
    <w:rsid w:val="00372AC0"/>
    <w:rsid w:val="003815FD"/>
    <w:rsid w:val="00387990"/>
    <w:rsid w:val="0039208E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817BB0"/>
    <w:rsid w:val="00817DC2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B0505D"/>
    <w:rsid w:val="00B077B1"/>
    <w:rsid w:val="00B17524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F3FF3"/>
    <w:rsid w:val="00D02DCD"/>
    <w:rsid w:val="00D3400E"/>
    <w:rsid w:val="00D359CC"/>
    <w:rsid w:val="00D95351"/>
    <w:rsid w:val="00DC358A"/>
    <w:rsid w:val="00DD17DC"/>
    <w:rsid w:val="00DD60A5"/>
    <w:rsid w:val="00DE7CAB"/>
    <w:rsid w:val="00E07D78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67DB9"/>
    <w:rsid w:val="00E72EAF"/>
    <w:rsid w:val="00E74B14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61FF"/>
    <w:rsid w:val="00FD5236"/>
    <w:rsid w:val="00FE2161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86</cp:revision>
  <cp:lastPrinted>2021-06-25T07:22:00Z</cp:lastPrinted>
  <dcterms:created xsi:type="dcterms:W3CDTF">2020-02-24T06:24:00Z</dcterms:created>
  <dcterms:modified xsi:type="dcterms:W3CDTF">2025-10-08T11:08:00Z</dcterms:modified>
</cp:coreProperties>
</file>