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19638C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12A3EB53" w14:textId="77777777" w:rsidR="0019638C" w:rsidRDefault="0019638C" w:rsidP="0019638C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6367103C" w14:textId="6EAA3443" w:rsidR="00A13798" w:rsidRPr="002E4EA6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2E4EA6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2E4EA6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2E4EA6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2A88ADB7" w14:textId="77777777" w:rsidR="0019638C" w:rsidRPr="002E4EA6" w:rsidRDefault="0019638C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14:paraId="447D3595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216A2A5D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90301F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6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</w:t>
      </w:r>
      <w:r w:rsidR="008C4D4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փետրվարի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8C4D4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="00B066DA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5AA9D72E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AB4DD1" w:rsidRPr="002E4EA6">
        <w:rPr>
          <w:rFonts w:ascii="GHEA Grapalat" w:hAnsi="GHEA Grapalat"/>
          <w:b w:val="0"/>
          <w:sz w:val="24"/>
          <w:szCs w:val="24"/>
          <w:lang w:val="af-ZA"/>
        </w:rPr>
        <w:t>«ԵՔ-ԲՄԽԾՁԲ-</w:t>
      </w:r>
      <w:r w:rsidR="0090301F">
        <w:rPr>
          <w:rFonts w:ascii="GHEA Grapalat" w:hAnsi="GHEA Grapalat"/>
          <w:b w:val="0"/>
          <w:sz w:val="24"/>
          <w:szCs w:val="24"/>
          <w:lang w:val="af-ZA"/>
        </w:rPr>
        <w:t>26/16</w:t>
      </w:r>
      <w:r w:rsidR="00AB4DD1" w:rsidRPr="002E4EA6">
        <w:rPr>
          <w:rFonts w:ascii="GHEA Grapalat" w:hAnsi="GHEA Grapalat"/>
          <w:b w:val="0"/>
          <w:sz w:val="24"/>
          <w:szCs w:val="24"/>
          <w:lang w:val="af-ZA"/>
        </w:rPr>
        <w:t>»</w:t>
      </w:r>
    </w:p>
    <w:p w14:paraId="6CF6AF69" w14:textId="77777777" w:rsidR="00A219BC" w:rsidRPr="002E4EA6" w:rsidRDefault="00A219BC" w:rsidP="0019638C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6BFBA3CF" w:rsidR="00A13798" w:rsidRPr="002E4EA6" w:rsidRDefault="00A13798" w:rsidP="0019638C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90301F" w:rsidRPr="0090301F">
        <w:rPr>
          <w:rFonts w:ascii="GHEA Grapalat" w:hAnsi="GHEA Grapalat" w:cs="Sylfaen"/>
          <w:sz w:val="24"/>
          <w:szCs w:val="24"/>
          <w:lang w:val="af-ZA"/>
        </w:rPr>
        <w:t>Երևանի մետրոպոլիտենի «Զորավար Անդրանիկ» և «Սասունցի Դավիթ» կայարանների միջանկյալ հատվածում նոր վերգետնյա («Սուրմալու» պայմանական անվանմամբ) կայարանի կառուցման և Քրիստափորի կամուրջի հատվածի վերականգնման տեխնիկատնտեսական ուսումնասիրության խորհրդատվական ծառայության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AB4DD1" w:rsidRPr="0090301F">
        <w:rPr>
          <w:rFonts w:ascii="GHEA Grapalat" w:hAnsi="GHEA Grapalat" w:cs="Sylfaen"/>
          <w:sz w:val="24"/>
          <w:szCs w:val="24"/>
          <w:lang w:val="af-ZA"/>
        </w:rPr>
        <w:t>«ԵՔ-ԲՄԽԾՁԲ-</w:t>
      </w:r>
      <w:r w:rsidR="0090301F">
        <w:rPr>
          <w:rFonts w:ascii="GHEA Grapalat" w:hAnsi="GHEA Grapalat" w:cs="Sylfaen"/>
          <w:sz w:val="24"/>
          <w:szCs w:val="24"/>
          <w:lang w:val="af-ZA"/>
        </w:rPr>
        <w:t>26/16</w:t>
      </w:r>
      <w:r w:rsidR="00AB4DD1" w:rsidRPr="0090301F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E4EA6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066DA">
        <w:rPr>
          <w:rFonts w:ascii="GHEA Grapalat" w:hAnsi="GHEA Grapalat" w:cs="Sylfaen"/>
          <w:sz w:val="24"/>
          <w:szCs w:val="24"/>
          <w:lang w:val="af-ZA"/>
        </w:rPr>
        <w:t>10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>.</w:t>
      </w:r>
      <w:r w:rsidR="0090301F">
        <w:rPr>
          <w:rFonts w:ascii="GHEA Grapalat" w:hAnsi="GHEA Grapalat" w:cs="Sylfaen"/>
          <w:sz w:val="24"/>
          <w:szCs w:val="24"/>
          <w:lang w:val="af-ZA"/>
        </w:rPr>
        <w:t>02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2E4EA6">
        <w:rPr>
          <w:rFonts w:ascii="GHEA Grapalat" w:hAnsi="GHEA Grapalat" w:cs="Sylfaen"/>
          <w:sz w:val="24"/>
          <w:szCs w:val="24"/>
          <w:lang w:val="af-ZA"/>
        </w:rPr>
        <w:t>2</w:t>
      </w:r>
      <w:r w:rsidR="0090301F">
        <w:rPr>
          <w:rFonts w:ascii="GHEA Grapalat" w:hAnsi="GHEA Grapalat" w:cs="Sylfaen"/>
          <w:sz w:val="24"/>
          <w:szCs w:val="24"/>
          <w:lang w:val="af-ZA"/>
        </w:rPr>
        <w:t>6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>դրա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8C4D49">
        <w:rPr>
          <w:rFonts w:ascii="GHEA Grapalat" w:hAnsi="GHEA Grapalat" w:cs="Sylfaen"/>
          <w:sz w:val="24"/>
          <w:szCs w:val="24"/>
          <w:lang w:val="af-ZA"/>
        </w:rPr>
        <w:t>1</w:t>
      </w:r>
      <w:r w:rsidR="004725CC">
        <w:rPr>
          <w:rFonts w:ascii="GHEA Grapalat" w:hAnsi="GHEA Grapalat" w:cs="Sylfaen"/>
          <w:sz w:val="24"/>
          <w:szCs w:val="24"/>
          <w:lang w:val="af-ZA"/>
        </w:rPr>
        <w:t>2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.</w:t>
      </w:r>
      <w:r w:rsidR="0090301F">
        <w:rPr>
          <w:rFonts w:ascii="GHEA Grapalat" w:hAnsi="GHEA Grapalat" w:cs="Sylfaen"/>
          <w:sz w:val="24"/>
          <w:szCs w:val="24"/>
          <w:lang w:val="af-ZA"/>
        </w:rPr>
        <w:t>02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>2</w:t>
      </w:r>
      <w:r w:rsidR="0090301F">
        <w:rPr>
          <w:rFonts w:ascii="GHEA Grapalat" w:hAnsi="GHEA Grapalat" w:cs="Sylfaen"/>
          <w:sz w:val="24"/>
          <w:szCs w:val="24"/>
          <w:lang w:val="af-ZA"/>
        </w:rPr>
        <w:t>6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թ.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2E4EA6" w:rsidRDefault="007664D6" w:rsidP="0019638C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09B586DB" w14:textId="77777777" w:rsidR="008A2980" w:rsidRPr="002E4EA6" w:rsidRDefault="008A2980" w:rsidP="0019638C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403252D" w14:textId="77777777" w:rsidR="008A2980" w:rsidRPr="002E4EA6" w:rsidRDefault="008A2980" w:rsidP="0019638C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77BD3BDA" w14:textId="062F5872" w:rsidR="008A2980" w:rsidRPr="002E4EA6" w:rsidRDefault="00434CD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8A2980" w:rsidRPr="002E4EA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E4EA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4A1D9689" w:rsidR="008A2980" w:rsidRPr="002E4EA6" w:rsidRDefault="00434CD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="008A2980" w:rsidRPr="002E4EA6">
        <w:rPr>
          <w:rFonts w:ascii="GHEA Grapalat" w:hAnsi="GHEA Grapalat" w:cs="Sylfaen"/>
          <w:b/>
          <w:sz w:val="24"/>
          <w:szCs w:val="24"/>
          <w:lang w:val="hy-AM"/>
        </w:rPr>
        <w:t>Текст разъяснения</w:t>
      </w:r>
    </w:p>
    <w:p w14:paraId="7384480B" w14:textId="77777777" w:rsidR="0019638C" w:rsidRDefault="0019638C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7953EDAD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Ուսումնասիրելով «ԵՔ-ԲՄԽԾՁԲ-26/16» ծածկագրով ընթացակարգի վերաբերյալ 10.02.2026թ. տրամադրված պարզաբանումները՝ խնդրում ենք հստակեցնել Հրավերի 2.4.1 կետի շուրջ հետևյալ հարցադրումները.</w:t>
      </w:r>
    </w:p>
    <w:p w14:paraId="23D1F352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Calibri" w:eastAsia="Times New Roman" w:hAnsi="Calibri" w:cs="Calibri"/>
          <w:color w:val="000000"/>
          <w:lang w:val="hy-AM" w:eastAsia="en-GB"/>
        </w:rPr>
        <w:t> </w:t>
      </w: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1. Իրավական տերմինաբանություն. «Ավտոմոբիլային ճանապարհների մասին» ՀՀ օրենքի 3-րդ հոդվածը չի սահմանում «հասարակական ճանապարհ» եզրույթը: Ճանապարհները դասակարգվում են որպես ընդհանուր օգտագործման (Միջպետական, Հանրապետական, Տեղական), որոնցում ներառված են նաև Երևան համայնքի ճանապարհները: Խնդրում ենք հաստատել, որ ընդհանուր օգտագործման ճանապարհների համար կատարված ուսումնասիրությունները դիտարկվում են որպես նմանատիպ փորձ:</w:t>
      </w:r>
    </w:p>
    <w:p w14:paraId="487052CD" w14:textId="77777777" w:rsidR="0086687B" w:rsidRDefault="0086687B" w:rsidP="0086687B">
      <w:pPr>
        <w:jc w:val="both"/>
        <w:rPr>
          <w:rFonts w:ascii="Calibri" w:hAnsi="Calibri" w:cs="Calibri"/>
          <w:color w:val="000000"/>
          <w:lang w:val="hy-AM" w:eastAsia="en-GB"/>
        </w:rPr>
      </w:pPr>
      <w:r w:rsidRPr="00933BFF">
        <w:rPr>
          <w:rFonts w:ascii="Calibri" w:eastAsia="Times New Roman" w:hAnsi="Calibri" w:cs="Calibri"/>
          <w:color w:val="000000"/>
          <w:lang w:val="hy-AM" w:eastAsia="en-GB"/>
        </w:rPr>
        <w:t> </w:t>
      </w:r>
    </w:p>
    <w:p w14:paraId="18255D4A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b/>
          <w:bCs/>
          <w:color w:val="000000"/>
          <w:lang w:val="hy-AM" w:eastAsia="en-GB"/>
        </w:rPr>
        <w:t>Պատասխան</w:t>
      </w:r>
    </w:p>
    <w:p w14:paraId="6C78990D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«Ավտոմոբիլային ճանապարհների մասին» ՀՀ օրենքի 3-րդ հոդվածի համաձայն՝ ճանապարհները դասակարգվում են որպես ընդհանուր օգտագործման (միջպետական, հանրապետական, տեղական) և ոչ ընդհանուր օգտագործման։ Երևան համայնքի ճանապարհները ներառվում են ընդհանուր օգտագործման ճանապարհների կազմում՝ որպես տեղական նշանակության ճանապարհներ։</w:t>
      </w:r>
    </w:p>
    <w:p w14:paraId="69947843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Հետևաբար, ընդհանուր օգտագործման ճանապարհների (անկախ դրանց դասակարգումից՝ Մ, Հ կամ տեղական) վերաբերյալ իրականացված տեխնիկատնտեսական ուսումնասիրությունները և/կամ նախագծային աշխատանքները կարող են դիտարկվել որպես նմանատիպ փորձ՝ պայմանով, որ դրանք բովանդակային և ծավալային առումով համապատասխանում են Հրավերի 2.4.1 կետով սահմանված պահանջներին։</w:t>
      </w:r>
    </w:p>
    <w:p w14:paraId="7FD69BF2" w14:textId="77777777" w:rsidR="0086687B" w:rsidRPr="00933BFF" w:rsidRDefault="0086687B" w:rsidP="0086687B">
      <w:pPr>
        <w:spacing w:after="0" w:line="240" w:lineRule="auto"/>
        <w:rPr>
          <w:rFonts w:ascii="GHEA Grapalat" w:eastAsia="Times New Roman" w:hAnsi="GHEA Grapalat" w:cs="Times New Roman"/>
          <w:lang w:val="hy-AM" w:eastAsia="en-GB"/>
        </w:rPr>
      </w:pPr>
    </w:p>
    <w:p w14:paraId="67298B8C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lastRenderedPageBreak/>
        <w:t>2. Տրանսպորտային ինտեգրման բաղադրիչ. Պարզաբանման մեջ նշված է, որ ճանապարհային նախագիծը նմանատիպ է, եթե ներառում է «տրանսպորտային ինտեգրման բաղադրիչ»: Խնդրում ենք պարզաբանել՝ արդյո՞ք Միջպետական կամ Հանրապետական նշանակության ճանապարհների շրջանակներում կատարված առկա տրանսպորտային ենթակառուցվածքների հետ ինտեգրման աշխատանքները կհամարվեն բավարար հիմնավորում որպես տրանսպորտային պլանավորման բաղադրիչ:</w:t>
      </w:r>
    </w:p>
    <w:p w14:paraId="3FDB64C8" w14:textId="77777777" w:rsidR="0086687B" w:rsidRDefault="0086687B" w:rsidP="0086687B">
      <w:pPr>
        <w:jc w:val="both"/>
        <w:rPr>
          <w:rFonts w:ascii="GHEA Grapalat" w:hAnsi="GHEA Grapalat" w:cs="Arial"/>
          <w:b/>
          <w:bCs/>
          <w:color w:val="000000"/>
          <w:lang w:val="hy-AM" w:eastAsia="en-GB"/>
        </w:rPr>
      </w:pPr>
    </w:p>
    <w:p w14:paraId="5EB62E36" w14:textId="77777777" w:rsidR="0086687B" w:rsidRDefault="0086687B" w:rsidP="0086687B">
      <w:pPr>
        <w:spacing w:after="0" w:line="240" w:lineRule="auto"/>
        <w:jc w:val="both"/>
        <w:rPr>
          <w:rFonts w:ascii="GHEA Grapalat" w:hAnsi="GHEA Grapalat" w:cs="Arial"/>
          <w:b/>
          <w:bCs/>
          <w:color w:val="000000"/>
          <w:lang w:val="hy-AM" w:eastAsia="en-GB"/>
        </w:rPr>
      </w:pPr>
      <w:r w:rsidRPr="00933BFF">
        <w:rPr>
          <w:rFonts w:ascii="GHEA Grapalat" w:eastAsia="Times New Roman" w:hAnsi="GHEA Grapalat" w:cs="Arial"/>
          <w:b/>
          <w:bCs/>
          <w:color w:val="000000"/>
          <w:lang w:val="hy-AM" w:eastAsia="en-GB"/>
        </w:rPr>
        <w:t>Պատասխան</w:t>
      </w:r>
    </w:p>
    <w:p w14:paraId="0E17BA7E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Տրանսպորտային ինտեգրման բաղադրիչի առկայությունը ենթադրում է, որ նախագծի շրջանակներում իրականացվել է ճանապարհային օբյեկտի կապակցվածության և փոխգործակցության գնահատում այլ տրանսպորտային ենթակառուցվածքների (հանրային տրանսպորտ, երկաթուղի, ուղևորափոխադրումներ, հանգույցներ և այլն) հետ։</w:t>
      </w:r>
    </w:p>
    <w:p w14:paraId="3F5A2454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Եթե Միջպետական կամ Հանրապետական նշանակության ճանապարհների տեխնիկատնտեսական ուսումնասիրության կամ նախագծման շրջանակներում իրականացվել է գործող տրանսպորտային ենթակառուցվածքների հետ համակարգային ինտեգրման, երթևեկության հոսքերի վերլուծության կամ փոխկապակցվածության գնահատում, ապա նման աշխատանքները կարող են համարվել բավարար հիմնավորում տրանսպորտային պլանավորման բաղադրիչի առկայության համար։</w:t>
      </w:r>
    </w:p>
    <w:p w14:paraId="003078F8" w14:textId="77777777" w:rsidR="0086687B" w:rsidRPr="00933BFF" w:rsidRDefault="0086687B" w:rsidP="0086687B">
      <w:pPr>
        <w:spacing w:after="0" w:line="240" w:lineRule="auto"/>
        <w:rPr>
          <w:rFonts w:ascii="GHEA Grapalat" w:eastAsia="Times New Roman" w:hAnsi="GHEA Grapalat" w:cs="Times New Roman"/>
          <w:lang w:val="hy-AM" w:eastAsia="en-GB"/>
        </w:rPr>
      </w:pPr>
    </w:p>
    <w:p w14:paraId="5E9D7C63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3. Ինժեներական կառույցների համադրելիություն. Խնդրում ենք պարզաբանել՝ արդյո՞ք բարդ ինժեներական կառույցների (թունելներ, կամուրջներ, բազմամակարդակ հանգույցներ) նախագծումը, որոնք տեխնիկական բարդությամբ և ռիսկայնությամբ համադրելի են կամ գերազանցում են վերգետնյա կայարանների բարդությունը, կդիտարկվեն որպես նմանատիպ փորձ, եթե դրանք ծառայում են ընդհանուր օգտագործման տրանսպորտային ցանցին:</w:t>
      </w:r>
    </w:p>
    <w:p w14:paraId="5AB9C7F1" w14:textId="77777777" w:rsidR="0086687B" w:rsidRDefault="0086687B" w:rsidP="0086687B">
      <w:pPr>
        <w:jc w:val="both"/>
        <w:rPr>
          <w:rFonts w:ascii="GHEA Grapalat" w:hAnsi="GHEA Grapalat" w:cs="Arial"/>
          <w:b/>
          <w:bCs/>
          <w:color w:val="000000"/>
          <w:lang w:val="hy-AM" w:eastAsia="en-GB"/>
        </w:rPr>
      </w:pPr>
    </w:p>
    <w:p w14:paraId="243858F2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b/>
          <w:bCs/>
          <w:color w:val="000000"/>
          <w:lang w:val="hy-AM" w:eastAsia="en-GB"/>
        </w:rPr>
        <w:t>Պատասխան</w:t>
      </w:r>
    </w:p>
    <w:p w14:paraId="20B90113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Բարդ ինժեներական կառույցների (թունելներ, կամուրջներ, բազմամակարդակ հանգույցներ և այլ խոշոր ինժեներական օբյեկտներ) նախագծումը կարող է դիտարկվել որպես նմանատիպ փորձ, եթե՝</w:t>
      </w:r>
    </w:p>
    <w:p w14:paraId="746B027A" w14:textId="77777777" w:rsidR="0086687B" w:rsidRPr="00933BFF" w:rsidRDefault="0086687B" w:rsidP="0086687B">
      <w:pPr>
        <w:numPr>
          <w:ilvl w:val="0"/>
          <w:numId w:val="7"/>
        </w:numPr>
        <w:spacing w:after="0" w:line="240" w:lineRule="auto"/>
        <w:textAlignment w:val="baseline"/>
        <w:rPr>
          <w:rFonts w:ascii="GHEA Grapalat" w:eastAsia="Times New Roman" w:hAnsi="GHEA Grapalat" w:cs="Arial"/>
          <w:color w:val="000000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դրանք տեխնիկական բարդությամբ և կառավարման ռիսկայնությամբ համադրելի կամ առավել բարդ են,</w:t>
      </w: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br/>
      </w: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br/>
      </w:r>
    </w:p>
    <w:p w14:paraId="484AF496" w14:textId="77777777" w:rsidR="0086687B" w:rsidRPr="00933BFF" w:rsidRDefault="0086687B" w:rsidP="0086687B">
      <w:pPr>
        <w:numPr>
          <w:ilvl w:val="0"/>
          <w:numId w:val="7"/>
        </w:numPr>
        <w:spacing w:after="0" w:line="240" w:lineRule="auto"/>
        <w:textAlignment w:val="baseline"/>
        <w:rPr>
          <w:rFonts w:ascii="GHEA Grapalat" w:eastAsia="Times New Roman" w:hAnsi="GHEA Grapalat" w:cs="Arial"/>
          <w:color w:val="000000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ծառայել են ընդհանուր օգտագործման տրանսպորտային ցանցին,</w:t>
      </w: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br/>
      </w: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br/>
      </w:r>
    </w:p>
    <w:p w14:paraId="7E95F87A" w14:textId="77777777" w:rsidR="0086687B" w:rsidRPr="00933BFF" w:rsidRDefault="0086687B" w:rsidP="0086687B">
      <w:pPr>
        <w:numPr>
          <w:ilvl w:val="0"/>
          <w:numId w:val="7"/>
        </w:numPr>
        <w:spacing w:after="0" w:line="240" w:lineRule="auto"/>
        <w:textAlignment w:val="baseline"/>
        <w:rPr>
          <w:rFonts w:ascii="GHEA Grapalat" w:eastAsia="Times New Roman" w:hAnsi="GHEA Grapalat" w:cs="Arial"/>
          <w:color w:val="000000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և դրանց նախագծումը ներառել է համակարգային տրանսպորտային, կառուցվածքային և անվտանգության հաշվարկներ։</w:t>
      </w: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br/>
      </w: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br/>
      </w:r>
    </w:p>
    <w:p w14:paraId="5A6A664A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Գնահատման ընթացքում հաշվի է առնվելու ոչ միայն օբյեկտի տեսակն, այլև աշխատանքի բովանդակային և տեխնիկական ծավալը։</w:t>
      </w:r>
    </w:p>
    <w:p w14:paraId="3EE31C65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Calibri" w:eastAsia="Times New Roman" w:hAnsi="Calibri" w:cs="Calibri"/>
          <w:color w:val="000000"/>
          <w:lang w:val="hy-AM" w:eastAsia="en-GB"/>
        </w:rPr>
        <w:t> </w:t>
      </w:r>
    </w:p>
    <w:p w14:paraId="29C51DAB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4. Բարձր կարգի ճանապարհների փորձառություն. Արդյո՞ք Միջպետական (Մ) և Հանրապետական (Հ) ճանապարհների (ներառյալ՝ թունելներ և կամուրջներ) տեխնիկատնտեսական ուսումնասիրությունը կամ նախագծումը կհամարվի նմանատիպ փորձ, քանի որ դրանք հանդիսանում են ավելի բարձր կարգի ընդհանուր օգտագործման ուղիներ, քան տեղական նշանակության (այդ թվում՝ Երևան քաղաքի) ճանապարհները:</w:t>
      </w:r>
    </w:p>
    <w:p w14:paraId="0A0FEDD5" w14:textId="77777777" w:rsidR="0086687B" w:rsidRDefault="0086687B" w:rsidP="0086687B">
      <w:pPr>
        <w:jc w:val="both"/>
        <w:rPr>
          <w:rFonts w:ascii="GHEA Grapalat" w:hAnsi="GHEA Grapalat" w:cs="Arial"/>
          <w:b/>
          <w:bCs/>
          <w:color w:val="000000"/>
          <w:lang w:val="hy-AM" w:eastAsia="en-GB"/>
        </w:rPr>
      </w:pPr>
    </w:p>
    <w:p w14:paraId="2023CD83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b/>
          <w:bCs/>
          <w:color w:val="000000"/>
          <w:lang w:val="hy-AM" w:eastAsia="en-GB"/>
        </w:rPr>
        <w:t>Պատասխան</w:t>
      </w:r>
    </w:p>
    <w:p w14:paraId="188FD8DC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lastRenderedPageBreak/>
        <w:t>Միջպետական (Մ) և Հանրապետական (Հ) նշանակության ճանապարհների տեխնիկատնտեսական ուսումնասիրությունը կամ նախագծումը, ներառյալ դրանց կազմում գտնվող թունելների և կամուրջների նախագծումը, կարող է դիտարկվել որպես նմանատիպ փորձ, քանի որ դրանք հանդիսանում են ընդհանուր օգտագործման ճանապարհներ և տեխնիկական, կազմակերպչական ու պատասխանատվության առումով, որպես կանոն, ունեն ավելի բարձր բարդության մակարդակ, քան տեղական նշանակության ճանապարհները։</w:t>
      </w:r>
    </w:p>
    <w:p w14:paraId="617F2139" w14:textId="77777777" w:rsidR="0086687B" w:rsidRPr="00933BFF" w:rsidRDefault="0086687B" w:rsidP="0086687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en-GB"/>
        </w:rPr>
      </w:pPr>
      <w:r w:rsidRPr="00933BFF">
        <w:rPr>
          <w:rFonts w:ascii="GHEA Grapalat" w:eastAsia="Times New Roman" w:hAnsi="GHEA Grapalat" w:cs="Arial"/>
          <w:color w:val="000000"/>
          <w:lang w:val="hy-AM" w:eastAsia="en-GB"/>
        </w:rPr>
        <w:t>Միևնույն ժամանակ, վերջնական գնահատումը կատարվելու է Հրավերի 2.4.1 կետի պահանջների համադրությամբ՝ հաշվի առնելով աշխատանքի բնույթը, բովանդակությունը և ծավալը։</w:t>
      </w:r>
    </w:p>
    <w:p w14:paraId="471C0CF6" w14:textId="77777777" w:rsidR="0090301F" w:rsidRPr="0086687B" w:rsidRDefault="0090301F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34A17916" w14:textId="77777777" w:rsidR="008C4D49" w:rsidRDefault="008C4D49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2E6F2416" w14:textId="7CF7BD09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78C838C7" w14:textId="0F13F125" w:rsidR="00A13798" w:rsidRPr="002E4EA6" w:rsidRDefault="00AB4DD1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/>
          <w:bCs/>
          <w:sz w:val="24"/>
          <w:szCs w:val="24"/>
          <w:lang w:val="af-ZA"/>
        </w:rPr>
        <w:t>«ԵՔ-ԲՄԽԾՁԲ-</w:t>
      </w:r>
      <w:r w:rsidR="0090301F">
        <w:rPr>
          <w:rFonts w:ascii="GHEA Grapalat" w:hAnsi="GHEA Grapalat"/>
          <w:bCs/>
          <w:sz w:val="24"/>
          <w:szCs w:val="24"/>
          <w:lang w:val="af-ZA"/>
        </w:rPr>
        <w:t>26/16</w:t>
      </w:r>
      <w:r w:rsidRPr="002E4EA6">
        <w:rPr>
          <w:rFonts w:ascii="GHEA Grapalat" w:hAnsi="GHEA Grapalat"/>
          <w:bCs/>
          <w:sz w:val="24"/>
          <w:szCs w:val="24"/>
          <w:lang w:val="af-ZA"/>
        </w:rPr>
        <w:t>»</w:t>
      </w:r>
      <w:r w:rsidR="00DF053F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ծածկագրով գնահատող հանձնաժողովի քարտուղար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Գ. Մուրադյանին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343733DD" w14:textId="77777777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Հեռախոս՝ 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011514373</w:t>
      </w:r>
      <w:r w:rsidRPr="002E4EA6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44CD6BA5" w14:textId="77777777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Էլեկոտրանային փոստ՝ 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gor.muradyan@yerevan.am</w:t>
      </w:r>
      <w:r w:rsidRPr="002E4EA6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17A761ED" w14:textId="06D8AE2E" w:rsidR="00A13798" w:rsidRPr="002E4EA6" w:rsidRDefault="00AB4DD1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/>
          <w:bCs/>
          <w:sz w:val="24"/>
          <w:szCs w:val="24"/>
          <w:lang w:val="af-ZA"/>
        </w:rPr>
        <w:t>«ԵՔ-ԲՄԽԾՁԲ-</w:t>
      </w:r>
      <w:r w:rsidR="0090301F">
        <w:rPr>
          <w:rFonts w:ascii="GHEA Grapalat" w:hAnsi="GHEA Grapalat"/>
          <w:bCs/>
          <w:sz w:val="24"/>
          <w:szCs w:val="24"/>
          <w:lang w:val="af-ZA"/>
        </w:rPr>
        <w:t>26/16</w:t>
      </w:r>
      <w:r w:rsidRPr="002E4EA6">
        <w:rPr>
          <w:rFonts w:ascii="GHEA Grapalat" w:hAnsi="GHEA Grapalat"/>
          <w:bCs/>
          <w:sz w:val="24"/>
          <w:szCs w:val="24"/>
          <w:lang w:val="af-ZA"/>
        </w:rPr>
        <w:t>»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  <w:r w:rsidR="00DF053F" w:rsidRPr="002E4EA6">
        <w:rPr>
          <w:rFonts w:ascii="GHEA Grapalat" w:hAnsi="GHEA Grapalat" w:cs="Sylfaen"/>
          <w:sz w:val="24"/>
          <w:szCs w:val="24"/>
          <w:lang w:val="af-ZA"/>
        </w:rPr>
        <w:t>ը</w:t>
      </w:r>
    </w:p>
    <w:p w14:paraId="0B64716E" w14:textId="77777777" w:rsidR="00A13798" w:rsidRPr="00485B4E" w:rsidRDefault="00A13798" w:rsidP="0019638C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 xml:space="preserve">                            </w:t>
      </w:r>
    </w:p>
    <w:p w14:paraId="27604282" w14:textId="77777777" w:rsidR="00AC37A6" w:rsidRPr="007664D6" w:rsidRDefault="00AC37A6" w:rsidP="0019638C">
      <w:pPr>
        <w:spacing w:after="0" w:line="240" w:lineRule="auto"/>
        <w:rPr>
          <w:lang w:val="af-ZA"/>
        </w:rPr>
      </w:pPr>
    </w:p>
    <w:sectPr w:rsidR="00AC37A6" w:rsidRPr="007664D6" w:rsidSect="00485B4E">
      <w:footerReference w:type="even" r:id="rId7"/>
      <w:footerReference w:type="default" r:id="rId8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C53E6" w14:textId="77777777" w:rsidR="00B70FB0" w:rsidRDefault="00B70FB0" w:rsidP="00B430B8">
      <w:pPr>
        <w:spacing w:after="0" w:line="240" w:lineRule="auto"/>
      </w:pPr>
      <w:r>
        <w:separator/>
      </w:r>
    </w:p>
  </w:endnote>
  <w:endnote w:type="continuationSeparator" w:id="0">
    <w:p w14:paraId="2A59F304" w14:textId="77777777" w:rsidR="00B70FB0" w:rsidRDefault="00B70FB0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482BB5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482BB5" w:rsidRDefault="00482BB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482BB5" w:rsidRDefault="00482BB5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482BB5" w:rsidRDefault="00482BB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79806" w14:textId="77777777" w:rsidR="00B70FB0" w:rsidRDefault="00B70FB0" w:rsidP="00B430B8">
      <w:pPr>
        <w:spacing w:after="0" w:line="240" w:lineRule="auto"/>
      </w:pPr>
      <w:r>
        <w:separator/>
      </w:r>
    </w:p>
  </w:footnote>
  <w:footnote w:type="continuationSeparator" w:id="0">
    <w:p w14:paraId="596E017C" w14:textId="77777777" w:rsidR="00B70FB0" w:rsidRDefault="00B70FB0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005B2"/>
    <w:multiLevelType w:val="multilevel"/>
    <w:tmpl w:val="52E6D0D8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5B0F2A"/>
    <w:multiLevelType w:val="hybridMultilevel"/>
    <w:tmpl w:val="D5DE48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B06CA8"/>
    <w:multiLevelType w:val="multilevel"/>
    <w:tmpl w:val="4E68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9043291">
    <w:abstractNumId w:val="4"/>
  </w:num>
  <w:num w:numId="2" w16cid:durableId="160850235">
    <w:abstractNumId w:val="3"/>
  </w:num>
  <w:num w:numId="3" w16cid:durableId="489907955">
    <w:abstractNumId w:val="2"/>
  </w:num>
  <w:num w:numId="4" w16cid:durableId="925728764">
    <w:abstractNumId w:val="1"/>
  </w:num>
  <w:num w:numId="5" w16cid:durableId="1795514754">
    <w:abstractNumId w:val="5"/>
  </w:num>
  <w:num w:numId="6" w16cid:durableId="403996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40874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8757F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9638C"/>
    <w:rsid w:val="001A6EA9"/>
    <w:rsid w:val="00217DD4"/>
    <w:rsid w:val="002440B4"/>
    <w:rsid w:val="002659AD"/>
    <w:rsid w:val="002979EA"/>
    <w:rsid w:val="002B5AC2"/>
    <w:rsid w:val="002C4251"/>
    <w:rsid w:val="002D07BB"/>
    <w:rsid w:val="002E4EA6"/>
    <w:rsid w:val="002F5875"/>
    <w:rsid w:val="00314799"/>
    <w:rsid w:val="0031600D"/>
    <w:rsid w:val="00356875"/>
    <w:rsid w:val="003D5833"/>
    <w:rsid w:val="00403AD6"/>
    <w:rsid w:val="004071C0"/>
    <w:rsid w:val="0041048A"/>
    <w:rsid w:val="00434CDF"/>
    <w:rsid w:val="00466CDA"/>
    <w:rsid w:val="004725CC"/>
    <w:rsid w:val="00482BB5"/>
    <w:rsid w:val="00482DEC"/>
    <w:rsid w:val="00485B4E"/>
    <w:rsid w:val="00491D7D"/>
    <w:rsid w:val="004B0392"/>
    <w:rsid w:val="004B1F4F"/>
    <w:rsid w:val="004C376E"/>
    <w:rsid w:val="004E45DF"/>
    <w:rsid w:val="004F3C91"/>
    <w:rsid w:val="004F7C7B"/>
    <w:rsid w:val="00517D1F"/>
    <w:rsid w:val="00542A1A"/>
    <w:rsid w:val="00553AD0"/>
    <w:rsid w:val="005741E0"/>
    <w:rsid w:val="005B1FC9"/>
    <w:rsid w:val="005D6E3A"/>
    <w:rsid w:val="00713E1C"/>
    <w:rsid w:val="007664D6"/>
    <w:rsid w:val="0077373E"/>
    <w:rsid w:val="007A1A63"/>
    <w:rsid w:val="007C2327"/>
    <w:rsid w:val="007C410B"/>
    <w:rsid w:val="007D4AA2"/>
    <w:rsid w:val="007E4DEC"/>
    <w:rsid w:val="00824408"/>
    <w:rsid w:val="0086687B"/>
    <w:rsid w:val="008807FC"/>
    <w:rsid w:val="008A05A3"/>
    <w:rsid w:val="008A2980"/>
    <w:rsid w:val="008B457D"/>
    <w:rsid w:val="008B7186"/>
    <w:rsid w:val="008C4D49"/>
    <w:rsid w:val="008C76F8"/>
    <w:rsid w:val="008D228E"/>
    <w:rsid w:val="009015C2"/>
    <w:rsid w:val="0090301F"/>
    <w:rsid w:val="00916ECB"/>
    <w:rsid w:val="00940F7C"/>
    <w:rsid w:val="0095342C"/>
    <w:rsid w:val="009548CF"/>
    <w:rsid w:val="00971598"/>
    <w:rsid w:val="00982F10"/>
    <w:rsid w:val="009B1DEB"/>
    <w:rsid w:val="00A13798"/>
    <w:rsid w:val="00A1655D"/>
    <w:rsid w:val="00A219BC"/>
    <w:rsid w:val="00A63547"/>
    <w:rsid w:val="00A810B2"/>
    <w:rsid w:val="00AA1A46"/>
    <w:rsid w:val="00AB4DD1"/>
    <w:rsid w:val="00AB662B"/>
    <w:rsid w:val="00AC37A6"/>
    <w:rsid w:val="00B066DA"/>
    <w:rsid w:val="00B11389"/>
    <w:rsid w:val="00B3494A"/>
    <w:rsid w:val="00B430B8"/>
    <w:rsid w:val="00B63997"/>
    <w:rsid w:val="00B65128"/>
    <w:rsid w:val="00B70FB0"/>
    <w:rsid w:val="00B751B8"/>
    <w:rsid w:val="00BA3A84"/>
    <w:rsid w:val="00BB0E96"/>
    <w:rsid w:val="00BE64DB"/>
    <w:rsid w:val="00C354D2"/>
    <w:rsid w:val="00C36CDA"/>
    <w:rsid w:val="00C47169"/>
    <w:rsid w:val="00CB44CB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EE067D"/>
    <w:rsid w:val="00EE58A7"/>
    <w:rsid w:val="00F1387F"/>
    <w:rsid w:val="00F24052"/>
    <w:rsid w:val="00F2448D"/>
    <w:rsid w:val="00F26B8A"/>
    <w:rsid w:val="00F417D8"/>
    <w:rsid w:val="00F41EFD"/>
    <w:rsid w:val="00F551BC"/>
    <w:rsid w:val="00FB41E0"/>
    <w:rsid w:val="00FF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69</cp:revision>
  <cp:lastPrinted>2026-02-11T10:20:00Z</cp:lastPrinted>
  <dcterms:created xsi:type="dcterms:W3CDTF">2018-11-20T13:06:00Z</dcterms:created>
  <dcterms:modified xsi:type="dcterms:W3CDTF">2026-02-12T11:14:00Z</dcterms:modified>
</cp:coreProperties>
</file>