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4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62"/>
        <w:gridCol w:w="80"/>
        <w:gridCol w:w="1388"/>
        <w:gridCol w:w="1319"/>
        <w:gridCol w:w="1320"/>
        <w:gridCol w:w="388"/>
        <w:gridCol w:w="933"/>
        <w:gridCol w:w="1320"/>
        <w:gridCol w:w="1321"/>
        <w:gridCol w:w="1297"/>
        <w:gridCol w:w="24"/>
        <w:gridCol w:w="1000"/>
        <w:gridCol w:w="320"/>
        <w:gridCol w:w="708"/>
        <w:gridCol w:w="613"/>
        <w:gridCol w:w="239"/>
        <w:gridCol w:w="810"/>
        <w:gridCol w:w="272"/>
        <w:gridCol w:w="1326"/>
      </w:tblGrid>
      <w:tr w:rsidR="00246DB9" w:rsidRPr="00112261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246DB9" w:rsidRPr="00EB4F5C" w:rsidRDefault="00246DB9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Протокол</w:t>
            </w:r>
            <w:proofErr w:type="spellEnd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246DB9" w:rsidRPr="003905F8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246DB9" w:rsidRPr="00236BA8" w:rsidRDefault="00FC3BF2" w:rsidP="006C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Заседания</w:t>
            </w:r>
            <w:r w:rsidR="00246DB9"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оценочной комиссии по запросу котировок под кодом </w:t>
            </w:r>
            <w:r w:rsidR="00986612" w:rsidRPr="00561F28">
              <w:rPr>
                <w:rFonts w:ascii="GHEA Grapalat" w:hAnsi="GHEA Grapalat" w:cs="Sylfaen"/>
                <w:b/>
                <w:lang w:val="ru-RU"/>
              </w:rPr>
              <w:t>«</w:t>
            </w:r>
            <w:r w:rsidR="00986612">
              <w:rPr>
                <w:rFonts w:ascii="GHEA Grapalat" w:hAnsi="GHEA Grapalat" w:cs="Sylfaen"/>
                <w:b/>
                <w:lang w:val="ru-RU"/>
              </w:rPr>
              <w:t>ՀՀԿԳՄՍՆԳՀԾՁԲ</w:t>
            </w:r>
            <w:r w:rsidR="00AA3048">
              <w:rPr>
                <w:rFonts w:ascii="GHEA Grapalat" w:hAnsi="GHEA Grapalat" w:cs="Sylfaen"/>
                <w:b/>
                <w:lang w:val="ru-RU"/>
              </w:rPr>
              <w:t>-25/25</w:t>
            </w:r>
            <w:r w:rsidR="00986612" w:rsidRPr="00561F28">
              <w:rPr>
                <w:rFonts w:ascii="GHEA Grapalat" w:hAnsi="GHEA Grapalat" w:cs="Sylfaen"/>
                <w:b/>
                <w:lang w:val="ru-RU"/>
              </w:rPr>
              <w:t xml:space="preserve">», по приобретению </w:t>
            </w:r>
            <w:r w:rsidR="00986612" w:rsidRPr="00176FA2">
              <w:rPr>
                <w:rFonts w:ascii="GHEA Grapalat" w:hAnsi="GHEA Grapalat" w:cs="Sylfaen"/>
                <w:b/>
                <w:lang w:val="ru-RU"/>
              </w:rPr>
              <w:t xml:space="preserve">услуг по </w:t>
            </w:r>
            <w:r w:rsidR="00986612" w:rsidRPr="00B704FF">
              <w:rPr>
                <w:rFonts w:ascii="GHEA Grapalat" w:hAnsi="GHEA Grapalat" w:cs="Sylfaen"/>
                <w:b/>
                <w:lang w:val="ru-RU"/>
              </w:rPr>
              <w:t>ремонту автомобилей</w:t>
            </w:r>
          </w:p>
        </w:tc>
      </w:tr>
      <w:tr w:rsidR="00246DB9" w:rsidRPr="003905F8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246DB9" w:rsidRPr="00EB4F5C" w:rsidRDefault="00246DB9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Заседание </w:t>
            </w:r>
            <w:r w:rsidR="0098661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оценочной комиссии состоялось </w:t>
            </w:r>
            <w:r w:rsidR="00AA304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14</w:t>
            </w:r>
            <w:r w:rsidR="00AA304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.03.2025</w:t>
            </w:r>
            <w:r w:rsidR="00D65118" w:rsidRPr="003D36A9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г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.  </w:t>
            </w:r>
            <w:r w:rsidR="00112261"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36BA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AA304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:00 часов через сайт 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www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armeps</w:t>
            </w:r>
            <w:proofErr w:type="spellEnd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am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9479F" w:rsidRPr="00112261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29479F" w:rsidRPr="00112261" w:rsidRDefault="0029479F" w:rsidP="0029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Члены комиссии</w:t>
            </w:r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9B6111" w:rsidRPr="00112261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  <w:vAlign w:val="center"/>
          </w:tcPr>
          <w:p w:rsidR="009B6111" w:rsidRPr="00112261" w:rsidRDefault="009B6111" w:rsidP="00AA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Председатель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 w:rsidR="00AA3048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9B6111" w:rsidRPr="00112261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  <w:vAlign w:val="center"/>
          </w:tcPr>
          <w:p w:rsidR="009B6111" w:rsidRPr="00112261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`                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Ара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Хачатрян</w:t>
            </w:r>
            <w:proofErr w:type="spellEnd"/>
          </w:p>
        </w:tc>
      </w:tr>
      <w:tr w:rsidR="009B6111" w:rsidRPr="00112261" w:rsidTr="00774421">
        <w:trPr>
          <w:trHeight w:val="225"/>
        </w:trPr>
        <w:tc>
          <w:tcPr>
            <w:tcW w:w="15240" w:type="dxa"/>
            <w:gridSpan w:val="19"/>
            <w:shd w:val="solid" w:color="FFFFFF" w:fill="auto"/>
            <w:vAlign w:val="center"/>
          </w:tcPr>
          <w:p w:rsidR="009B6111" w:rsidRPr="00112261" w:rsidRDefault="009B6111" w:rsidP="00AA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Ар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>мен</w:t>
            </w:r>
            <w:r w:rsidR="00AA3048">
              <w:rPr>
                <w:rFonts w:ascii="GHEA Grapalat" w:hAnsi="GHEA Grapalat" w:cs="GHEA Grapalat"/>
                <w:color w:val="000000"/>
                <w:lang w:val="ru-RU"/>
              </w:rPr>
              <w:t xml:space="preserve"> Григорян</w:t>
            </w:r>
          </w:p>
        </w:tc>
      </w:tr>
      <w:tr w:rsidR="009B6111" w:rsidRPr="00112261" w:rsidTr="00774421">
        <w:trPr>
          <w:trHeight w:val="333"/>
        </w:trPr>
        <w:tc>
          <w:tcPr>
            <w:tcW w:w="15240" w:type="dxa"/>
            <w:gridSpan w:val="19"/>
            <w:shd w:val="solid" w:color="FFFFFF" w:fill="auto"/>
            <w:vAlign w:val="center"/>
          </w:tcPr>
          <w:p w:rsidR="009B6111" w:rsidRPr="009E6B3C" w:rsidRDefault="009B6111" w:rsidP="00AA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AA3048">
              <w:rPr>
                <w:rFonts w:ascii="GHEA Grapalat" w:hAnsi="GHEA Grapalat" w:cs="GHEA Grapalat"/>
                <w:color w:val="000000"/>
                <w:lang w:val="ru-RU"/>
              </w:rPr>
              <w:t>Марине Багдасарян</w:t>
            </w:r>
          </w:p>
        </w:tc>
      </w:tr>
      <w:tr w:rsidR="009B6111" w:rsidRPr="00112261" w:rsidTr="00774421">
        <w:trPr>
          <w:trHeight w:val="315"/>
        </w:trPr>
        <w:tc>
          <w:tcPr>
            <w:tcW w:w="15240" w:type="dxa"/>
            <w:gridSpan w:val="19"/>
            <w:shd w:val="solid" w:color="FFFFFF" w:fill="auto"/>
            <w:vAlign w:val="center"/>
          </w:tcPr>
          <w:p w:rsidR="009B6111" w:rsidRPr="00C749F2" w:rsidRDefault="009B6111" w:rsidP="00AA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="00AA3048">
              <w:rPr>
                <w:rFonts w:ascii="GHEA Grapalat" w:hAnsi="GHEA Grapalat" w:cs="GHEA Grapalat"/>
                <w:color w:val="000000"/>
                <w:lang w:val="ru-RU"/>
              </w:rPr>
              <w:t>Рафаел</w:t>
            </w:r>
            <w:proofErr w:type="spellEnd"/>
            <w:r w:rsidR="00AA304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AA3048">
              <w:rPr>
                <w:rFonts w:ascii="GHEA Grapalat" w:hAnsi="GHEA Grapalat" w:cs="GHEA Grapalat"/>
                <w:color w:val="000000"/>
                <w:lang w:val="ru-RU"/>
              </w:rPr>
              <w:t>Ованнисян</w:t>
            </w:r>
            <w:proofErr w:type="spellEnd"/>
            <w:r w:rsidR="00AA304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</w:tc>
      </w:tr>
      <w:tr w:rsidR="009B6111" w:rsidRPr="00112261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  <w:vAlign w:val="center"/>
          </w:tcPr>
          <w:p w:rsidR="009B6111" w:rsidRPr="00112261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3905F8" w:rsidTr="00774421">
        <w:trPr>
          <w:trHeight w:val="603"/>
        </w:trPr>
        <w:tc>
          <w:tcPr>
            <w:tcW w:w="15240" w:type="dxa"/>
            <w:gridSpan w:val="19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3905F8" w:rsidTr="00774421">
        <w:trPr>
          <w:trHeight w:val="630"/>
        </w:trPr>
        <w:tc>
          <w:tcPr>
            <w:tcW w:w="15240" w:type="dxa"/>
            <w:gridSpan w:val="19"/>
            <w:shd w:val="solid" w:color="FFFFFF" w:fill="auto"/>
          </w:tcPr>
          <w:p w:rsidR="00246DB9" w:rsidRPr="00112261" w:rsidRDefault="00246DB9" w:rsidP="00AA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D65118" w:rsidRPr="00D65118">
              <w:rPr>
                <w:rFonts w:ascii="GHEA Grapalat" w:hAnsi="GHEA Grapalat" w:cs="GHEA Grapalat"/>
                <w:color w:val="000000"/>
                <w:lang w:val="ru-RU"/>
              </w:rPr>
              <w:t>ՀՀԿԳՄՍՆԳՀԾՁԲ</w:t>
            </w:r>
            <w:r w:rsidR="009B6111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AA3048">
              <w:rPr>
                <w:rFonts w:ascii="GHEA Grapalat" w:hAnsi="GHEA Grapalat" w:cs="GHEA Grapalat"/>
                <w:color w:val="000000"/>
                <w:lang w:val="ru-RU"/>
              </w:rPr>
              <w:t>25/25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, не представлены:</w:t>
            </w:r>
          </w:p>
        </w:tc>
      </w:tr>
      <w:tr w:rsidR="00246DB9" w:rsidRPr="003905F8" w:rsidTr="00774421">
        <w:trPr>
          <w:trHeight w:val="360"/>
        </w:trPr>
        <w:tc>
          <w:tcPr>
            <w:tcW w:w="15240" w:type="dxa"/>
            <w:gridSpan w:val="19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3905F8" w:rsidTr="00774421">
        <w:trPr>
          <w:trHeight w:val="728"/>
        </w:trPr>
        <w:tc>
          <w:tcPr>
            <w:tcW w:w="15240" w:type="dxa"/>
            <w:gridSpan w:val="19"/>
            <w:shd w:val="solid" w:color="FFFFFF" w:fill="auto"/>
          </w:tcPr>
          <w:p w:rsidR="00246DB9" w:rsidRPr="00112261" w:rsidRDefault="00246DB9" w:rsidP="00AA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112261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с </w:t>
            </w:r>
            <w:proofErr w:type="gramStart"/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кодом  </w:t>
            </w:r>
            <w:r w:rsidR="00D65118" w:rsidRPr="00D65118">
              <w:rPr>
                <w:rFonts w:ascii="GHEA Grapalat" w:hAnsi="GHEA Grapalat" w:cs="GHEA Grapalat"/>
                <w:color w:val="000000"/>
                <w:lang w:val="ru-RU"/>
              </w:rPr>
              <w:t>ՀՀԿԳՄՍՆԳՀԾՁԲ</w:t>
            </w:r>
            <w:proofErr w:type="gramEnd"/>
            <w:r w:rsidR="009B6111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AA3048">
              <w:rPr>
                <w:rFonts w:ascii="GHEA Grapalat" w:hAnsi="GHEA Grapalat" w:cs="GHEA Grapalat"/>
                <w:color w:val="000000"/>
                <w:lang w:val="ru-RU"/>
              </w:rPr>
              <w:t>25/25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подали заявку следующие организации:</w:t>
            </w:r>
          </w:p>
        </w:tc>
      </w:tr>
      <w:tr w:rsidR="00774421" w:rsidRPr="00112261" w:rsidTr="0029479F">
        <w:trPr>
          <w:trHeight w:val="432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6DB9" w:rsidRPr="00112261" w:rsidRDefault="00246DB9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6DB9" w:rsidRPr="006E629F" w:rsidRDefault="00246DB9" w:rsidP="006E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6E62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6DB9" w:rsidRPr="006E629F" w:rsidRDefault="00246DB9" w:rsidP="006E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6E629F">
              <w:rPr>
                <w:rFonts w:ascii="GHEA Grapalat" w:hAnsi="GHEA Grapalat" w:cs="GHEA Grapalat"/>
                <w:b/>
                <w:bCs/>
                <w:color w:val="000000"/>
              </w:rPr>
              <w:t>Ел</w:t>
            </w:r>
            <w:proofErr w:type="spellEnd"/>
            <w:r w:rsidRPr="006E629F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Pr="006E629F">
              <w:rPr>
                <w:rFonts w:ascii="GHEA Grapalat" w:hAnsi="GHEA Grapalat" w:cs="GHEA Grapalat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246DB9" w:rsidRPr="00112261" w:rsidRDefault="00246DB9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8" w:type="dxa"/>
            <w:gridSpan w:val="2"/>
            <w:shd w:val="solid" w:color="FFFFFF" w:fill="auto"/>
          </w:tcPr>
          <w:p w:rsidR="00246DB9" w:rsidRPr="00112261" w:rsidRDefault="00246DB9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2" w:type="dxa"/>
            <w:gridSpan w:val="2"/>
            <w:shd w:val="solid" w:color="FFFFFF" w:fill="auto"/>
          </w:tcPr>
          <w:p w:rsidR="00246DB9" w:rsidRPr="00112261" w:rsidRDefault="00246DB9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246DB9" w:rsidRPr="00112261" w:rsidRDefault="00246DB9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598" w:type="dxa"/>
            <w:gridSpan w:val="2"/>
            <w:shd w:val="solid" w:color="FFFFFF" w:fill="auto"/>
          </w:tcPr>
          <w:p w:rsidR="00246DB9" w:rsidRPr="00112261" w:rsidRDefault="00246DB9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AA3048" w:rsidRPr="009B6111" w:rsidTr="000669FF">
        <w:trPr>
          <w:trHeight w:val="432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440DA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9508A4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AA3048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ru-RU"/>
              </w:rPr>
            </w:pPr>
            <w:r w:rsidRPr="00671C1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Гарант Моторс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48" w:rsidRPr="00671C10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A6522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garantmotors@yahoo.com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AA3048" w:rsidRPr="009B611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1028" w:type="dxa"/>
            <w:gridSpan w:val="2"/>
            <w:shd w:val="solid" w:color="FFFFFF" w:fill="auto"/>
            <w:vAlign w:val="center"/>
          </w:tcPr>
          <w:p w:rsidR="00AA3048" w:rsidRPr="009B611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852" w:type="dxa"/>
            <w:gridSpan w:val="2"/>
            <w:shd w:val="solid" w:color="FFFFFF" w:fill="auto"/>
            <w:vAlign w:val="center"/>
          </w:tcPr>
          <w:p w:rsidR="00AA3048" w:rsidRPr="009B611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810" w:type="dxa"/>
            <w:shd w:val="solid" w:color="FFFFFF" w:fill="auto"/>
            <w:vAlign w:val="center"/>
          </w:tcPr>
          <w:p w:rsidR="00AA3048" w:rsidRPr="009B611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1598" w:type="dxa"/>
            <w:gridSpan w:val="2"/>
            <w:shd w:val="solid" w:color="FFFFFF" w:fill="auto"/>
            <w:vAlign w:val="center"/>
          </w:tcPr>
          <w:p w:rsidR="00AA3048" w:rsidRPr="009B611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</w:tr>
      <w:tr w:rsidR="00AA3048" w:rsidRPr="000669FF" w:rsidTr="000669FF">
        <w:trPr>
          <w:trHeight w:val="432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F55FA9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508A4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AA3048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Мушегян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Агван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Аркадевич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AA304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Ч/П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48" w:rsidRPr="004F5E0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A6522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musheg.mushegyan@yahoo.com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AA3048" w:rsidRPr="000669FF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1028" w:type="dxa"/>
            <w:gridSpan w:val="2"/>
            <w:shd w:val="solid" w:color="FFFFFF" w:fill="auto"/>
            <w:vAlign w:val="center"/>
          </w:tcPr>
          <w:p w:rsidR="00AA3048" w:rsidRPr="000669FF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852" w:type="dxa"/>
            <w:gridSpan w:val="2"/>
            <w:shd w:val="solid" w:color="FFFFFF" w:fill="auto"/>
            <w:vAlign w:val="center"/>
          </w:tcPr>
          <w:p w:rsidR="00AA3048" w:rsidRPr="000669FF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810" w:type="dxa"/>
            <w:shd w:val="solid" w:color="FFFFFF" w:fill="auto"/>
            <w:vAlign w:val="center"/>
          </w:tcPr>
          <w:p w:rsidR="00AA3048" w:rsidRPr="000669FF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1598" w:type="dxa"/>
            <w:gridSpan w:val="2"/>
            <w:shd w:val="solid" w:color="FFFFFF" w:fill="auto"/>
            <w:vAlign w:val="center"/>
          </w:tcPr>
          <w:p w:rsidR="00AA3048" w:rsidRPr="000669FF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</w:tr>
      <w:tr w:rsidR="00AA3048" w:rsidRPr="00112261" w:rsidTr="000669FF">
        <w:trPr>
          <w:trHeight w:val="432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671C10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9508A4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AA3048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ЭММИ АВТОХАУС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48" w:rsidRPr="004F5E0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6522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autohousemc@gmail.com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8" w:type="dxa"/>
            <w:gridSpan w:val="2"/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2" w:type="dxa"/>
            <w:gridSpan w:val="2"/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598" w:type="dxa"/>
            <w:gridSpan w:val="2"/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AA3048" w:rsidRPr="00112261" w:rsidTr="000669FF">
        <w:trPr>
          <w:trHeight w:val="432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B952F6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9508A4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AA3048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ЛУКСОРИЯ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48" w:rsidRPr="00A6522B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6522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luxoriallc@mail.ru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8" w:type="dxa"/>
            <w:gridSpan w:val="2"/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2" w:type="dxa"/>
            <w:gridSpan w:val="2"/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598" w:type="dxa"/>
            <w:gridSpan w:val="2"/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AA3048" w:rsidRPr="00112261" w:rsidTr="000669FF">
        <w:trPr>
          <w:trHeight w:val="432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B952F6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AA3048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Турболайн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48" w:rsidRPr="009508A4" w:rsidRDefault="00AA3048" w:rsidP="00AA304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6522B">
              <w:rPr>
                <w:rFonts w:ascii="GHEA Grapalat" w:hAnsi="GHEA Grapalat" w:cs="Calibri"/>
                <w:b/>
                <w:bCs/>
                <w:sz w:val="20"/>
                <w:szCs w:val="20"/>
              </w:rPr>
              <w:t>info@turboline.am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8" w:type="dxa"/>
            <w:gridSpan w:val="2"/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2" w:type="dxa"/>
            <w:gridSpan w:val="2"/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598" w:type="dxa"/>
            <w:gridSpan w:val="2"/>
            <w:shd w:val="solid" w:color="FFFFFF" w:fill="auto"/>
            <w:vAlign w:val="center"/>
          </w:tcPr>
          <w:p w:rsidR="00AA3048" w:rsidRPr="0011226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9B6111" w:rsidRPr="003905F8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9B6111" w:rsidRPr="00112261" w:rsidRDefault="009B6111" w:rsidP="009B611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9B6111" w:rsidRPr="003905F8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9B6111" w:rsidRPr="00112261" w:rsidRDefault="009B6111" w:rsidP="009B611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</w:tc>
      </w:tr>
      <w:tr w:rsidR="009B6111" w:rsidRPr="0029479F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9B6111" w:rsidRPr="00112261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proofErr w:type="gramStart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9B6111" w:rsidRPr="00236BA8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9B6111" w:rsidRPr="007B2239" w:rsidRDefault="009B6111" w:rsidP="009B611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</w:t>
            </w:r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9B6111" w:rsidRPr="003905F8" w:rsidTr="00774421">
        <w:trPr>
          <w:trHeight w:val="432"/>
        </w:trPr>
        <w:tc>
          <w:tcPr>
            <w:tcW w:w="15240" w:type="dxa"/>
            <w:gridSpan w:val="19"/>
            <w:tcBorders>
              <w:bottom w:val="single" w:sz="4" w:space="0" w:color="auto"/>
            </w:tcBorders>
            <w:shd w:val="solid" w:color="FFFFFF" w:fill="auto"/>
          </w:tcPr>
          <w:p w:rsidR="009B6111" w:rsidRPr="007B2239" w:rsidRDefault="009B6111" w:rsidP="009B611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lastRenderedPageBreak/>
              <w:t>4</w:t>
            </w:r>
            <w:r w:rsidRPr="007B2239">
              <w:rPr>
                <w:rFonts w:ascii="GHEA Grapalat" w:hAnsi="GHEA Grapalat" w:cs="GHEA Grapalat"/>
                <w:color w:val="000000"/>
                <w:lang w:val="ru-RU"/>
              </w:rPr>
              <w:t>.1 Участниками были представлены следующие ценевые предложения:</w:t>
            </w:r>
          </w:p>
        </w:tc>
      </w:tr>
      <w:tr w:rsidR="009B6111" w:rsidRPr="00F23F0A" w:rsidTr="00253D64">
        <w:trPr>
          <w:trHeight w:val="1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B6111" w:rsidRPr="0022225B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2225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  <w:p w:rsidR="009B6111" w:rsidRPr="006E629F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22225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лота</w:t>
            </w:r>
            <w:proofErr w:type="spellEnd"/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253D64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53D6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Ориентировочная цена* </w:t>
            </w:r>
          </w:p>
          <w:p w:rsidR="009B6111" w:rsidRPr="00253D64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53D6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(*для лотов с </w:t>
            </w:r>
          </w:p>
          <w:p w:rsidR="009B6111" w:rsidRPr="00253D64" w:rsidRDefault="003E7221" w:rsidP="009B6111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ru-RU"/>
              </w:rPr>
              <w:t>1-ого по 6</w:t>
            </w:r>
            <w:r w:rsidR="009B6111" w:rsidRPr="00253D6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ru-RU"/>
              </w:rPr>
              <w:t>-ое:</w:t>
            </w:r>
            <w:r w:rsidR="009B6111" w:rsidRPr="00253D64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Совокупность максимальных единиц цен)</w:t>
            </w:r>
          </w:p>
          <w:p w:rsidR="009B6111" w:rsidRPr="00372AE6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253D6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ru-RU"/>
              </w:rPr>
              <w:t>драмов РА</w:t>
            </w:r>
          </w:p>
        </w:tc>
        <w:tc>
          <w:tcPr>
            <w:tcW w:w="13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6E629F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53D64">
              <w:rPr>
                <w:rFonts w:ascii="GHEA Grapalat" w:hAnsi="GHEA Grapalat" w:cs="GHEA Grapalat"/>
                <w:b/>
                <w:bCs/>
                <w:color w:val="000000"/>
              </w:rPr>
              <w:t>Имена</w:t>
            </w:r>
            <w:r w:rsidRPr="00F23F0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участников</w:t>
            </w:r>
          </w:p>
        </w:tc>
      </w:tr>
      <w:tr w:rsidR="009B6111" w:rsidRPr="00F23F0A" w:rsidTr="00253D64">
        <w:trPr>
          <w:trHeight w:val="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B6111" w:rsidRPr="00F23F0A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6E629F" w:rsidRDefault="009B6111" w:rsidP="009B611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AA3048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ind w:left="-105" w:right="-14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A3048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«Гарант Моторс» ООО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0669FF" w:rsidRDefault="00AA3048" w:rsidP="009B6111">
            <w:pPr>
              <w:autoSpaceDE w:val="0"/>
              <w:autoSpaceDN w:val="0"/>
              <w:adjustRightInd w:val="0"/>
              <w:spacing w:after="0" w:line="240" w:lineRule="auto"/>
              <w:ind w:left="-105" w:right="-14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A3048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«</w:t>
            </w:r>
            <w:proofErr w:type="spellStart"/>
            <w:r w:rsidRPr="00AA3048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Мушегян</w:t>
            </w:r>
            <w:proofErr w:type="spellEnd"/>
            <w:r w:rsidRPr="00AA3048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3048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Агван</w:t>
            </w:r>
            <w:proofErr w:type="spellEnd"/>
            <w:r w:rsidRPr="00AA3048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3048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Аркадевич</w:t>
            </w:r>
            <w:proofErr w:type="spellEnd"/>
            <w:r w:rsidRPr="00AA3048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» Ч/П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AA3048" w:rsidRDefault="00AA3048" w:rsidP="009B6111">
            <w:pPr>
              <w:autoSpaceDE w:val="0"/>
              <w:autoSpaceDN w:val="0"/>
              <w:adjustRightInd w:val="0"/>
              <w:spacing w:after="0" w:line="240" w:lineRule="auto"/>
              <w:ind w:left="-105" w:right="-14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A3048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«ЭММИ АВТОХАУС» ООО</w:t>
            </w:r>
          </w:p>
        </w:tc>
        <w:tc>
          <w:tcPr>
            <w:tcW w:w="2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AA3048" w:rsidRDefault="00AA3048" w:rsidP="009B6111">
            <w:pPr>
              <w:autoSpaceDE w:val="0"/>
              <w:autoSpaceDN w:val="0"/>
              <w:adjustRightInd w:val="0"/>
              <w:spacing w:after="0" w:line="240" w:lineRule="auto"/>
              <w:ind w:left="-105" w:right="-14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A3048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«ЛУКСОРИЯ» ООО</w:t>
            </w:r>
          </w:p>
        </w:tc>
        <w:tc>
          <w:tcPr>
            <w:tcW w:w="2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AA3048" w:rsidRDefault="00AA3048" w:rsidP="009B6111">
            <w:pPr>
              <w:autoSpaceDE w:val="0"/>
              <w:autoSpaceDN w:val="0"/>
              <w:adjustRightInd w:val="0"/>
              <w:spacing w:after="0" w:line="240" w:lineRule="auto"/>
              <w:ind w:left="-105" w:right="-14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A3048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«</w:t>
            </w:r>
            <w:proofErr w:type="spellStart"/>
            <w:r w:rsidRPr="00AA3048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Турболайн</w:t>
            </w:r>
            <w:proofErr w:type="spellEnd"/>
            <w:r w:rsidRPr="00AA3048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» ООО</w:t>
            </w:r>
          </w:p>
        </w:tc>
      </w:tr>
      <w:tr w:rsidR="009B6111" w:rsidRPr="003905F8" w:rsidTr="00253D64">
        <w:trPr>
          <w:trHeight w:val="29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B6111" w:rsidRPr="00F23F0A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6E629F" w:rsidRDefault="009B6111" w:rsidP="009B611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3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4C390B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r w:rsidRPr="009B6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Совокупность единиц цен, предложенная отобранным участником, </w:t>
            </w:r>
            <w:proofErr w:type="spellStart"/>
            <w:r w:rsidRPr="009B6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драмов</w:t>
            </w:r>
            <w:proofErr w:type="spellEnd"/>
            <w:r w:rsidRPr="009B6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РА</w:t>
            </w:r>
          </w:p>
        </w:tc>
      </w:tr>
      <w:tr w:rsidR="009B6111" w:rsidRPr="00236BA8" w:rsidTr="0029479F">
        <w:trPr>
          <w:cantSplit/>
          <w:trHeight w:val="75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B6111" w:rsidRPr="006E629F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6E629F" w:rsidRDefault="009B6111" w:rsidP="009B611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774421" w:rsidRDefault="009B6111" w:rsidP="009B6111">
            <w:pPr>
              <w:spacing w:after="0" w:line="240" w:lineRule="auto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7442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без НДС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774421" w:rsidRDefault="009B6111" w:rsidP="009B6111">
            <w:pPr>
              <w:spacing w:after="0" w:line="240" w:lineRule="auto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7442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включая НДС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774421" w:rsidRDefault="009B6111" w:rsidP="009B6111">
            <w:pPr>
              <w:spacing w:after="0" w:line="240" w:lineRule="auto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7442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без НДС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774421" w:rsidRDefault="009B6111" w:rsidP="009B6111">
            <w:pPr>
              <w:spacing w:after="0" w:line="240" w:lineRule="auto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7442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включая НДС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774421" w:rsidRDefault="009B6111" w:rsidP="009B6111">
            <w:pPr>
              <w:spacing w:after="0" w:line="240" w:lineRule="auto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7442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включая НДС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774421" w:rsidRDefault="009B6111" w:rsidP="009B6111">
            <w:pPr>
              <w:spacing w:after="0" w:line="240" w:lineRule="auto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7442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без НДС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774421" w:rsidRDefault="009B6111" w:rsidP="009B6111">
            <w:pPr>
              <w:spacing w:after="0" w:line="240" w:lineRule="auto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7442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без НДС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774421" w:rsidRDefault="009B6111" w:rsidP="009B6111">
            <w:pPr>
              <w:spacing w:after="0" w:line="240" w:lineRule="auto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7442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включая НДС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774421" w:rsidRDefault="009B6111" w:rsidP="009B6111">
            <w:pPr>
              <w:spacing w:after="0" w:line="240" w:lineRule="auto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7442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без НДС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111" w:rsidRPr="00774421" w:rsidRDefault="009B6111" w:rsidP="009B6111">
            <w:pPr>
              <w:spacing w:after="0" w:line="240" w:lineRule="auto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74421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включая НДС</w:t>
            </w:r>
          </w:p>
        </w:tc>
      </w:tr>
      <w:tr w:rsidR="00AA3048" w:rsidRPr="00236BA8" w:rsidTr="00253D64">
        <w:trPr>
          <w:cantSplit/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3E722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3E7221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FB27E7" w:rsidRDefault="00AA3048" w:rsidP="00AA3048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E71AA0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18631100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670B93" w:rsidRDefault="00AA3048" w:rsidP="00AA3048">
            <w:pPr>
              <w:spacing w:after="0" w:line="240" w:lineRule="auto"/>
              <w:ind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8383000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670B93" w:rsidRDefault="00AA3048" w:rsidP="00AA3048">
            <w:pPr>
              <w:spacing w:after="0" w:line="240" w:lineRule="auto"/>
              <w:ind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8383000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527305" w:rsidRDefault="00AA3048" w:rsidP="00AA3048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9300000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527305" w:rsidRDefault="00AA3048" w:rsidP="00AA3048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9300000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F6125E" w:rsidRDefault="00AA3048" w:rsidP="00AA3048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9688000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F6125E" w:rsidRDefault="00AA3048" w:rsidP="00AA3048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9688000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47691A" w:rsidRDefault="00AA3048" w:rsidP="00AA3048">
            <w:pPr>
              <w:spacing w:after="0" w:line="240" w:lineRule="auto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9992000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47691A" w:rsidRDefault="00AA3048" w:rsidP="00AA3048">
            <w:pPr>
              <w:spacing w:after="0" w:line="240" w:lineRule="auto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9992000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FB27E7" w:rsidRDefault="00AA3048" w:rsidP="00AA3048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10868125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527305" w:rsidRDefault="00AA3048" w:rsidP="00AA3048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13041750</w:t>
            </w:r>
          </w:p>
        </w:tc>
      </w:tr>
      <w:tr w:rsidR="00AA3048" w:rsidRPr="00236BA8" w:rsidTr="00253D64">
        <w:trPr>
          <w:cantSplit/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3E7221" w:rsidRDefault="00AA3048" w:rsidP="00AA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</w:pPr>
            <w:r w:rsidRPr="003E7221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FB27E7" w:rsidRDefault="00AA3048" w:rsidP="00AA3048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E71AA0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18911100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670B93" w:rsidRDefault="00707BEC" w:rsidP="00AA3048">
            <w:pPr>
              <w:spacing w:after="0" w:line="240" w:lineRule="auto"/>
              <w:ind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8509</w:t>
            </w:r>
            <w:r w:rsidR="00AA304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670B93" w:rsidRDefault="00707BEC" w:rsidP="00AA3048">
            <w:pPr>
              <w:spacing w:after="0" w:line="240" w:lineRule="auto"/>
              <w:ind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8509</w:t>
            </w:r>
            <w:r w:rsidR="00AA304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527305" w:rsidRDefault="00AA3048" w:rsidP="00AA3048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9400000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527305" w:rsidRDefault="00AA3048" w:rsidP="00AA3048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9400000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F6125E" w:rsidRDefault="00AA3048" w:rsidP="00AA3048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9833000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F6125E" w:rsidRDefault="00AA3048" w:rsidP="00AA3048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9833000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47691A" w:rsidRDefault="00AA3048" w:rsidP="00AA3048">
            <w:pPr>
              <w:spacing w:after="0" w:line="240" w:lineRule="auto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9992000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47691A" w:rsidRDefault="00AA3048" w:rsidP="00AA3048">
            <w:pPr>
              <w:spacing w:after="0" w:line="240" w:lineRule="auto"/>
              <w:ind w:left="-78" w:right="-8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9992000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FB27E7" w:rsidRDefault="00AA3048" w:rsidP="00AA3048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11031475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3048" w:rsidRPr="00527305" w:rsidRDefault="00AA3048" w:rsidP="00AA3048">
            <w:pPr>
              <w:spacing w:after="0"/>
              <w:ind w:left="-78" w:right="-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13237770</w:t>
            </w:r>
          </w:p>
        </w:tc>
      </w:tr>
      <w:tr w:rsidR="009B6111" w:rsidRPr="0029479F" w:rsidTr="00253D64">
        <w:trPr>
          <w:trHeight w:val="87"/>
        </w:trPr>
        <w:tc>
          <w:tcPr>
            <w:tcW w:w="15240" w:type="dxa"/>
            <w:gridSpan w:val="19"/>
            <w:shd w:val="solid" w:color="FFFFFF" w:fill="auto"/>
          </w:tcPr>
          <w:p w:rsidR="009B6111" w:rsidRPr="003B060E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proofErr w:type="spellStart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proofErr w:type="gramStart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4C390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9B6111" w:rsidRPr="003905F8" w:rsidTr="00F41DDF">
        <w:trPr>
          <w:trHeight w:val="141"/>
        </w:trPr>
        <w:tc>
          <w:tcPr>
            <w:tcW w:w="15240" w:type="dxa"/>
            <w:gridSpan w:val="19"/>
            <w:shd w:val="solid" w:color="FFFFFF" w:fill="auto"/>
          </w:tcPr>
          <w:p w:rsidR="009B6111" w:rsidRPr="007B2239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7B22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Об оценке соответствия с установленными условиями </w:t>
            </w:r>
            <w:proofErr w:type="gramStart"/>
            <w:r w:rsidRPr="007B22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документов</w:t>
            </w:r>
            <w:proofErr w:type="gramEnd"/>
            <w:r w:rsidRPr="007B22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представленных участниками:</w:t>
            </w:r>
          </w:p>
        </w:tc>
      </w:tr>
      <w:tr w:rsidR="009B6111" w:rsidRPr="009B6111" w:rsidTr="00253D64">
        <w:trPr>
          <w:trHeight w:val="429"/>
        </w:trPr>
        <w:tc>
          <w:tcPr>
            <w:tcW w:w="15240" w:type="dxa"/>
            <w:gridSpan w:val="19"/>
            <w:shd w:val="solid" w:color="FFFFFF" w:fill="auto"/>
          </w:tcPr>
          <w:p w:rsidR="009B6111" w:rsidRPr="007B2239" w:rsidRDefault="003E7221" w:rsidP="009B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49F2">
              <w:rPr>
                <w:rFonts w:ascii="GHEA Grapalat" w:hAnsi="GHEA Grapalat" w:cs="GHEA Grapalat"/>
                <w:color w:val="000000"/>
                <w:lang w:val="ru-RU"/>
              </w:rPr>
              <w:t xml:space="preserve">5.1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C749F2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после рассмотрения комиссией документов участников, но не позднее, чем в срок, указанный в пункте 8.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2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приглашения на данную процедуру,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</w:t>
            </w:r>
            <w:r w:rsidR="003905F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ргсяна 3, Дом Правительства 2, </w:t>
            </w:r>
            <w:r w:rsidR="003905F8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3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-й этаж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="003905F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.</w:t>
            </w:r>
            <w:bookmarkStart w:id="0" w:name="_GoBack"/>
            <w:bookmarkEnd w:id="0"/>
          </w:p>
        </w:tc>
      </w:tr>
      <w:tr w:rsidR="009B6111" w:rsidRPr="0029479F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9B6111" w:rsidRPr="009E29E8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53D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253D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253D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9B6111" w:rsidRPr="003905F8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9B6111" w:rsidRPr="00253D64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E65B9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Заседание оценочной комиссии продолжилось </w:t>
            </w:r>
            <w:r w:rsidR="00AA304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="003E7221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AA304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.202</w:t>
            </w:r>
            <w:r w:rsidR="00AA304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E65B9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г. в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AA304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E65B9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:00 часов</w:t>
            </w:r>
          </w:p>
        </w:tc>
      </w:tr>
      <w:tr w:rsidR="009B6111" w:rsidRPr="003905F8" w:rsidTr="00F41DDF">
        <w:trPr>
          <w:trHeight w:val="123"/>
        </w:trPr>
        <w:tc>
          <w:tcPr>
            <w:tcW w:w="15240" w:type="dxa"/>
            <w:gridSpan w:val="19"/>
            <w:shd w:val="solid" w:color="FFFFFF" w:fill="auto"/>
          </w:tcPr>
          <w:p w:rsidR="009B6111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84F9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6. Сведения о наличии представленных документах в заявках каждого участника и об их соответствии с установленными условиями:</w:t>
            </w:r>
          </w:p>
        </w:tc>
      </w:tr>
      <w:tr w:rsidR="009B6111" w:rsidRPr="003905F8" w:rsidTr="00F41DDF">
        <w:trPr>
          <w:trHeight w:val="276"/>
        </w:trPr>
        <w:tc>
          <w:tcPr>
            <w:tcW w:w="15240" w:type="dxa"/>
            <w:gridSpan w:val="19"/>
            <w:shd w:val="solid" w:color="FFFFFF" w:fill="auto"/>
          </w:tcPr>
          <w:p w:rsidR="009B6111" w:rsidRPr="00584F97" w:rsidRDefault="009B6111" w:rsidP="00AA3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6.1 </w:t>
            </w:r>
            <w:proofErr w:type="gramStart"/>
            <w:r>
              <w:rPr>
                <w:rFonts w:ascii="GHEA Grapalat" w:hAnsi="GHEA Grapalat" w:cs="GHEA Grapalat"/>
                <w:color w:val="000000"/>
                <w:lang w:val="ru-RU"/>
              </w:rPr>
              <w:t>В заявках</w:t>
            </w:r>
            <w:proofErr w:type="gramEnd"/>
            <w:r w:rsidRPr="0082370B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представленных</w:t>
            </w:r>
            <w:r w:rsidRPr="00CC1F05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233743">
              <w:rPr>
                <w:rFonts w:ascii="GHEA Grapalat" w:hAnsi="GHEA Grapalat" w:cs="GHEA Grapalat"/>
                <w:color w:val="000000"/>
                <w:lang w:val="ru-RU"/>
              </w:rPr>
              <w:t>участниками имеются</w:t>
            </w:r>
            <w:r w:rsidRPr="00CC1F05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все документы, требуемые приглашением.</w:t>
            </w:r>
          </w:p>
        </w:tc>
      </w:tr>
      <w:tr w:rsidR="009B6111" w:rsidRPr="0029479F" w:rsidTr="00F41DDF">
        <w:trPr>
          <w:trHeight w:val="258"/>
        </w:trPr>
        <w:tc>
          <w:tcPr>
            <w:tcW w:w="15240" w:type="dxa"/>
            <w:gridSpan w:val="19"/>
            <w:shd w:val="solid" w:color="FFFFFF" w:fill="auto"/>
          </w:tcPr>
          <w:p w:rsidR="009B6111" w:rsidRPr="00584F97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C51577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</w:t>
            </w:r>
            <w:r w:rsidRPr="0033175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решение: за 5, </w:t>
            </w:r>
            <w:proofErr w:type="gramStart"/>
            <w:r w:rsidRPr="0033175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33175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9B6111" w:rsidRPr="003905F8" w:rsidTr="00F41DDF">
        <w:trPr>
          <w:trHeight w:val="258"/>
        </w:trPr>
        <w:tc>
          <w:tcPr>
            <w:tcW w:w="15240" w:type="dxa"/>
            <w:gridSpan w:val="19"/>
            <w:shd w:val="solid" w:color="FFFFFF" w:fill="auto"/>
          </w:tcPr>
          <w:p w:rsidR="009B6111" w:rsidRPr="00133DCD" w:rsidRDefault="009B6111" w:rsidP="006E6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6.2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621B"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6E621B">
              <w:rPr>
                <w:rFonts w:ascii="GHEA Grapalat" w:hAnsi="GHEA Grapalat" w:cs="GHEA Grapalat"/>
                <w:color w:val="000000"/>
                <w:lang w:val="ru-RU"/>
              </w:rPr>
              <w:t>представленные</w:t>
            </w:r>
            <w:r w:rsidR="00AA3048" w:rsidRPr="00CC1F05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AA3048" w:rsidRPr="00233743">
              <w:rPr>
                <w:rFonts w:ascii="GHEA Grapalat" w:hAnsi="GHEA Grapalat" w:cs="GHEA Grapalat"/>
                <w:color w:val="000000"/>
                <w:lang w:val="ru-RU"/>
              </w:rPr>
              <w:t>участниками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«Гарант Моторс» ООО</w:t>
            </w:r>
            <w:r w:rsidR="006E621B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Мушегян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Агван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Аркадевич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» Ч/П, «ЭММИ АВТОХАУС» ООО</w:t>
            </w:r>
            <w:r w:rsidR="006E621B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«ЛУКСОРИЯ» ООО</w:t>
            </w:r>
            <w:r w:rsidR="006E621B">
              <w:rPr>
                <w:rFonts w:ascii="GHEA Grapalat" w:hAnsi="GHEA Grapalat" w:cs="GHEA Grapalat"/>
                <w:color w:val="000000"/>
                <w:lang w:val="ru-RU"/>
              </w:rPr>
              <w:t xml:space="preserve"> и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Турболайн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» ООО</w:t>
            </w:r>
            <w:r w:rsidR="006E621B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621B" w:rsidRPr="004D7753">
              <w:rPr>
                <w:rFonts w:ascii="GHEA Grapalat" w:hAnsi="GHEA Grapalat" w:cs="GHEA Grapalat"/>
                <w:color w:val="000000"/>
                <w:lang w:val="ru-RU"/>
              </w:rPr>
              <w:t>не соответствуют требованиям, изложенным в приглашении, в частности</w:t>
            </w:r>
            <w:r w:rsidR="006E621B" w:rsidRPr="004D7753">
              <w:rPr>
                <w:rFonts w:ascii="GHEA Grapalat" w:hAnsi="GHEA Grapalat" w:cs="GHEA Grapalat"/>
                <w:color w:val="000000"/>
                <w:lang w:val="hy-AM"/>
              </w:rPr>
              <w:t>: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190476">
              <w:rPr>
                <w:rFonts w:ascii="GHEA Grapalat" w:hAnsi="GHEA Grapalat" w:cs="Sylfaen"/>
                <w:noProof/>
                <w:lang w:val="hy-AM"/>
              </w:rPr>
              <w:t>В приложении N 1</w:t>
            </w:r>
            <w:r w:rsidR="00190476" w:rsidRPr="006E621B">
              <w:rPr>
                <w:rFonts w:ascii="GHEA Grapalat" w:hAnsi="GHEA Grapalat" w:cs="Sylfaen"/>
                <w:noProof/>
                <w:lang w:val="hy-AM"/>
              </w:rPr>
              <w:t>:</w:t>
            </w:r>
            <w:r w:rsidR="00190476" w:rsidRPr="004D7753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="006E621B">
              <w:rPr>
                <w:rFonts w:ascii="GHEA Grapalat" w:hAnsi="GHEA Grapalat" w:cs="Sylfaen"/>
                <w:noProof/>
                <w:lang w:val="ru-RU"/>
              </w:rPr>
              <w:t>З</w:t>
            </w:r>
            <w:r w:rsidR="006E621B">
              <w:rPr>
                <w:rFonts w:ascii="GHEA Grapalat" w:hAnsi="GHEA Grapalat" w:cs="Sylfaen"/>
                <w:noProof/>
                <w:lang w:val="hy-AM"/>
              </w:rPr>
              <w:t>аявлении-объявлении</w:t>
            </w:r>
            <w:r w:rsidR="006E621B" w:rsidRPr="004D7753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="00190476" w:rsidRPr="004D7753">
              <w:rPr>
                <w:rFonts w:ascii="GHEA Grapalat" w:hAnsi="GHEA Grapalat" w:cs="Sylfaen"/>
                <w:noProof/>
                <w:lang w:val="hy-AM"/>
              </w:rPr>
              <w:t>ссылка на сайт, содержащую информацию о бенефициарных владельцах в форме декларации о бенефициарном праве,</w:t>
            </w:r>
            <w:r w:rsidR="00190476" w:rsidRPr="004D7753">
              <w:rPr>
                <w:rFonts w:ascii="GHEA Grapalat" w:hAnsi="GHEA Grapalat" w:cs="Sylfaen"/>
                <w:noProof/>
                <w:lang w:val="ru-RU"/>
              </w:rPr>
              <w:t xml:space="preserve"> просрочена</w:t>
            </w:r>
            <w:r w:rsidR="00190476"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9B6111" w:rsidRPr="009B6111" w:rsidTr="00F41DDF">
        <w:trPr>
          <w:trHeight w:val="258"/>
        </w:trPr>
        <w:tc>
          <w:tcPr>
            <w:tcW w:w="15240" w:type="dxa"/>
            <w:gridSpan w:val="19"/>
            <w:shd w:val="solid" w:color="FFFFFF" w:fill="auto"/>
          </w:tcPr>
          <w:p w:rsidR="009B6111" w:rsidRDefault="009B6111" w:rsidP="00AA3048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A304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AA304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AA304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9B6111" w:rsidRPr="0029479F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9B6111" w:rsidRPr="003F6767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3F676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7. О приостановлении процесса оценки:</w:t>
            </w:r>
          </w:p>
        </w:tc>
      </w:tr>
      <w:tr w:rsidR="009B6111" w:rsidRPr="003905F8" w:rsidTr="00F41DDF">
        <w:trPr>
          <w:trHeight w:val="285"/>
        </w:trPr>
        <w:tc>
          <w:tcPr>
            <w:tcW w:w="15240" w:type="dxa"/>
            <w:gridSpan w:val="19"/>
            <w:shd w:val="solid" w:color="FFFFFF" w:fill="auto"/>
          </w:tcPr>
          <w:p w:rsidR="009B6111" w:rsidRPr="003F6767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3F6767">
              <w:rPr>
                <w:rFonts w:ascii="GHEA Grapalat" w:hAnsi="GHEA Grapalat" w:cs="GHEA Grapalat"/>
                <w:color w:val="000000"/>
                <w:lang w:val="ru-RU"/>
              </w:rPr>
              <w:t>7.1</w:t>
            </w:r>
            <w:r w:rsidRPr="003F6767">
              <w:rPr>
                <w:lang w:val="ru-RU"/>
              </w:rPr>
              <w:t xml:space="preserve"> </w:t>
            </w:r>
            <w:r w:rsidRPr="003F6767">
              <w:rPr>
                <w:rFonts w:ascii="GHEA Grapalat" w:hAnsi="GHEA Grapalat" w:cs="GHEA Grapalat"/>
                <w:color w:val="000000"/>
                <w:lang w:val="ru-RU"/>
              </w:rPr>
              <w:t>В соответствии с пунктом 41 порядка "Организации процесса закупок", утвержденный решением правительства РА от 04.05.2017 г. N 526-Ն</w:t>
            </w:r>
            <w:r w:rsidRPr="003F6767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3F6767">
              <w:rPr>
                <w:rFonts w:ascii="GHEA Grapalat" w:hAnsi="GHEA Grapalat" w:cs="GHEA Grapalat"/>
                <w:color w:val="000000"/>
                <w:lang w:val="ru-RU"/>
              </w:rPr>
              <w:t>приостановить процесс оценки и предложить участник</w:t>
            </w:r>
            <w:r w:rsidR="006E621B">
              <w:rPr>
                <w:rFonts w:ascii="GHEA Grapalat" w:hAnsi="GHEA Grapalat" w:cs="GHEA Grapalat"/>
                <w:color w:val="000000"/>
                <w:lang w:val="hy-AM"/>
              </w:rPr>
              <w:t>ам</w:t>
            </w:r>
            <w:r w:rsidRPr="003F6767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«Гарант Моторс» ООО</w:t>
            </w:r>
            <w:r w:rsidR="006E621B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Мушегян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Агван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Аркадевич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» Ч/П, «ЭММИ АВТОХАУС» ООО</w:t>
            </w:r>
            <w:r w:rsidR="006E621B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«ЛУКСОРИЯ» ООО</w:t>
            </w:r>
            <w:r w:rsidR="006E621B">
              <w:rPr>
                <w:rFonts w:ascii="GHEA Grapalat" w:hAnsi="GHEA Grapalat" w:cs="GHEA Grapalat"/>
                <w:color w:val="000000"/>
                <w:lang w:val="ru-RU"/>
              </w:rPr>
              <w:t xml:space="preserve"> и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Турболайн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» ООО</w:t>
            </w:r>
            <w:r w:rsidRPr="003F6767">
              <w:rPr>
                <w:rFonts w:ascii="GHEA Grapalat" w:hAnsi="GHEA Grapalat" w:cs="GHEA Grapalat"/>
                <w:color w:val="000000"/>
                <w:lang w:val="ru-RU"/>
              </w:rPr>
              <w:t xml:space="preserve"> в течение одного рабочего дня исправить </w:t>
            </w:r>
            <w:proofErr w:type="gramStart"/>
            <w:r w:rsidRPr="003F6767">
              <w:rPr>
                <w:rFonts w:ascii="GHEA Grapalat" w:hAnsi="GHEA Grapalat" w:cs="GHEA Grapalat"/>
                <w:color w:val="000000"/>
                <w:lang w:val="ru-RU"/>
              </w:rPr>
              <w:t>несоответст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вия</w:t>
            </w:r>
            <w:proofErr w:type="gram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зарегистрированные в пункте</w:t>
            </w:r>
            <w:r w:rsidRPr="003F6767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6.2</w:t>
            </w:r>
            <w:r w:rsidRPr="003F6767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9B6111" w:rsidRPr="0029479F" w:rsidTr="00F41DDF">
        <w:trPr>
          <w:trHeight w:val="303"/>
        </w:trPr>
        <w:tc>
          <w:tcPr>
            <w:tcW w:w="15240" w:type="dxa"/>
            <w:gridSpan w:val="19"/>
            <w:shd w:val="solid" w:color="FFFFFF" w:fill="auto"/>
          </w:tcPr>
          <w:p w:rsidR="009B6111" w:rsidRPr="00B43111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9B6111" w:rsidRPr="003905F8" w:rsidTr="00F41DDF">
        <w:trPr>
          <w:trHeight w:val="231"/>
        </w:trPr>
        <w:tc>
          <w:tcPr>
            <w:tcW w:w="15240" w:type="dxa"/>
            <w:gridSpan w:val="19"/>
            <w:shd w:val="solid" w:color="FFFFFF" w:fill="auto"/>
          </w:tcPr>
          <w:p w:rsidR="009B6111" w:rsidRPr="00B43111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7.2</w:t>
            </w:r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621B" w:rsidRPr="004D7753">
              <w:rPr>
                <w:rFonts w:ascii="GHEA Grapalat" w:hAnsi="GHEA Grapalat" w:cs="GHEA Grapalat"/>
                <w:color w:val="000000"/>
                <w:lang w:val="ru-RU"/>
              </w:rPr>
              <w:t>Продолжить</w:t>
            </w:r>
            <w:r w:rsidR="006E621B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заседание комиссии </w:t>
            </w:r>
            <w:r w:rsidR="006E621B" w:rsidRPr="004D7753">
              <w:rPr>
                <w:rFonts w:ascii="GHEA Grapalat" w:hAnsi="GHEA Grapalat" w:cs="GHEA Grapalat"/>
                <w:color w:val="000000"/>
                <w:lang w:val="ru-RU"/>
              </w:rPr>
              <w:t>после исправления участниками в установленные сроки несоответствий зарегистрированн</w:t>
            </w:r>
            <w:r w:rsidR="006E621B">
              <w:rPr>
                <w:rFonts w:ascii="GHEA Grapalat" w:hAnsi="GHEA Grapalat" w:cs="GHEA Grapalat"/>
                <w:color w:val="000000"/>
                <w:lang w:val="ru-RU"/>
              </w:rPr>
              <w:t>ых оценочной комиссией в пункте</w:t>
            </w:r>
            <w:r w:rsidR="006E621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6.2</w:t>
            </w:r>
            <w:r w:rsidR="006E621B" w:rsidRPr="004D7753">
              <w:rPr>
                <w:rFonts w:ascii="GHEA Grapalat" w:hAnsi="GHEA Grapalat" w:cs="GHEA Grapalat"/>
                <w:color w:val="000000"/>
                <w:lang w:val="hy-AM"/>
              </w:rPr>
              <w:t>, в Министерстве образования, науки, культуры и спорта РА по адресу: Вазгена Саркисяна 3, Дом правительства 2, 3 этаж, ком. 3</w:t>
            </w:r>
            <w:r w:rsidR="006E621B" w:rsidRPr="004D7753"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="006E621B" w:rsidRPr="004D7753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</w:tc>
      </w:tr>
      <w:tr w:rsidR="009B6111" w:rsidRPr="006E621B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9B6111" w:rsidRPr="00BA5CEC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</w:t>
            </w:r>
            <w:r w:rsidRPr="00BA5CE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ринятое решение: за 5, </w:t>
            </w:r>
            <w:proofErr w:type="gramStart"/>
            <w:r w:rsidRPr="00BA5CE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BA5CE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9B6111" w:rsidRPr="0029479F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tbl>
            <w:tblPr>
              <w:tblW w:w="15257" w:type="dxa"/>
              <w:tblInd w:w="78" w:type="dxa"/>
              <w:tblLayout w:type="fixed"/>
              <w:tblLook w:val="0000" w:firstRow="0" w:lastRow="0" w:firstColumn="0" w:lastColumn="0" w:noHBand="0" w:noVBand="0"/>
            </w:tblPr>
            <w:tblGrid>
              <w:gridCol w:w="15257"/>
            </w:tblGrid>
            <w:tr w:rsidR="009B6111" w:rsidRPr="003905F8" w:rsidTr="009E5E56">
              <w:trPr>
                <w:trHeight w:val="432"/>
              </w:trPr>
              <w:tc>
                <w:tcPr>
                  <w:tcW w:w="15257" w:type="dxa"/>
                  <w:shd w:val="solid" w:color="FFFFFF" w:fill="auto"/>
                </w:tcPr>
                <w:p w:rsidR="009B6111" w:rsidRPr="00F903FD" w:rsidRDefault="009B6111" w:rsidP="003E72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F903F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Заседание оценочной комиссии продолжилось </w:t>
                  </w:r>
                  <w:r w:rsidR="006E621B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24</w:t>
                  </w:r>
                  <w:r w:rsidR="006E621B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.03.202</w:t>
                  </w:r>
                  <w:r w:rsidR="006E621B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5</w:t>
                  </w:r>
                  <w:r w:rsidR="006E621B" w:rsidRPr="00E65B9C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г. в </w:t>
                  </w:r>
                  <w:r w:rsidR="006E621B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="006E621B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2</w:t>
                  </w:r>
                  <w:r w:rsidR="006E621B" w:rsidRPr="00E65B9C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:00</w:t>
                  </w:r>
                  <w:r w:rsidRPr="00F903F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часов</w:t>
                  </w:r>
                </w:p>
              </w:tc>
            </w:tr>
            <w:tr w:rsidR="009B6111" w:rsidRPr="003905F8" w:rsidTr="00F41DDF">
              <w:trPr>
                <w:trHeight w:val="195"/>
              </w:trPr>
              <w:tc>
                <w:tcPr>
                  <w:tcW w:w="15257" w:type="dxa"/>
                  <w:shd w:val="solid" w:color="FFFFFF" w:fill="auto"/>
                </w:tcPr>
                <w:p w:rsidR="009B6111" w:rsidRPr="00B43111" w:rsidRDefault="009B6111" w:rsidP="009B61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lastRenderedPageBreak/>
                    <w:t>8</w:t>
                  </w:r>
                  <w:r w:rsidRPr="00B43111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. Об исправлении </w:t>
                  </w:r>
                  <w:proofErr w:type="gramStart"/>
                  <w:r w:rsidRPr="00B43111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несоответствий</w:t>
                  </w:r>
                  <w:proofErr w:type="gramEnd"/>
                  <w:r w:rsidRPr="00B43111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зафиксированных в процессе оценки процедуры закупки:</w:t>
                  </w:r>
                </w:p>
              </w:tc>
            </w:tr>
            <w:tr w:rsidR="009B6111" w:rsidRPr="003905F8" w:rsidTr="00F41DDF">
              <w:trPr>
                <w:trHeight w:val="267"/>
              </w:trPr>
              <w:tc>
                <w:tcPr>
                  <w:tcW w:w="15257" w:type="dxa"/>
                  <w:shd w:val="solid" w:color="FFFFFF" w:fill="auto"/>
                </w:tcPr>
                <w:p w:rsidR="009B6111" w:rsidRPr="00B43111" w:rsidRDefault="009B6111" w:rsidP="009B61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8</w:t>
                  </w:r>
                  <w:r w:rsidRPr="00B43111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.1 Участник</w:t>
                  </w:r>
                  <w:r w:rsidR="006E621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и</w:t>
                  </w:r>
                  <w:r w:rsidRPr="00B43111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r w:rsidR="006E621B" w:rsidRPr="00AA304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«Гарант Моторс» ООО</w:t>
                  </w:r>
                  <w:r w:rsidR="006E621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, </w:t>
                  </w:r>
                  <w:r w:rsidR="006E621B" w:rsidRPr="00AA304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«</w:t>
                  </w:r>
                  <w:proofErr w:type="spellStart"/>
                  <w:r w:rsidR="006E621B" w:rsidRPr="00AA304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Мушегян</w:t>
                  </w:r>
                  <w:proofErr w:type="spellEnd"/>
                  <w:r w:rsidR="006E621B" w:rsidRPr="00AA304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="006E621B" w:rsidRPr="00AA304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Агван</w:t>
                  </w:r>
                  <w:proofErr w:type="spellEnd"/>
                  <w:r w:rsidR="006E621B" w:rsidRPr="00AA304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="006E621B" w:rsidRPr="00AA304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Аркадевич</w:t>
                  </w:r>
                  <w:proofErr w:type="spellEnd"/>
                  <w:r w:rsidR="006E621B" w:rsidRPr="00AA304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» Ч/П, «ЭММИ АВТОХАУС» ООО</w:t>
                  </w:r>
                  <w:r w:rsidR="006E621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, </w:t>
                  </w:r>
                  <w:r w:rsidR="006E621B" w:rsidRPr="00AA304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«ЛУКСОРИЯ» ООО</w:t>
                  </w:r>
                  <w:r w:rsidR="006E621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и </w:t>
                  </w:r>
                  <w:r w:rsidR="006E621B" w:rsidRPr="00AA304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«</w:t>
                  </w:r>
                  <w:proofErr w:type="spellStart"/>
                  <w:r w:rsidR="006E621B" w:rsidRPr="00AA304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Турболайн</w:t>
                  </w:r>
                  <w:proofErr w:type="spellEnd"/>
                  <w:r w:rsidR="006E621B" w:rsidRPr="00AA304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» ООО</w:t>
                  </w:r>
                  <w:r w:rsidR="003E7221" w:rsidRPr="00B43111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r w:rsidRPr="00B43111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в установленные сроки исправил несоответствия, зафиксированные оценочной комиссией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в пункте</w:t>
                  </w:r>
                  <w:r w:rsidRPr="00B43111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r w:rsidR="003E7221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6.2</w:t>
                  </w:r>
                  <w:r w:rsidRPr="00B43111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. </w:t>
                  </w:r>
                </w:p>
              </w:tc>
            </w:tr>
            <w:tr w:rsidR="009B6111" w:rsidRPr="00B30E86" w:rsidTr="00F41DDF">
              <w:trPr>
                <w:trHeight w:val="429"/>
              </w:trPr>
              <w:tc>
                <w:tcPr>
                  <w:tcW w:w="15257" w:type="dxa"/>
                  <w:shd w:val="solid" w:color="FFFFFF" w:fill="auto"/>
                </w:tcPr>
                <w:p w:rsidR="009B6111" w:rsidRPr="00B43111" w:rsidRDefault="009B6111" w:rsidP="009B6111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62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proofErr w:type="spellStart"/>
                  <w:r w:rsidRPr="00B4311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Принятое</w:t>
                  </w:r>
                  <w:proofErr w:type="spellEnd"/>
                  <w:r w:rsidRPr="00B4311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 w:rsidRPr="00B4311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решение</w:t>
                  </w:r>
                  <w:proofErr w:type="spellEnd"/>
                  <w:r w:rsidRPr="00B4311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: </w:t>
                  </w:r>
                  <w:proofErr w:type="spellStart"/>
                  <w:r w:rsidRPr="00B4311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за</w:t>
                  </w:r>
                  <w:proofErr w:type="spellEnd"/>
                  <w:r w:rsidRPr="00B4311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 </w:t>
                  </w:r>
                  <w:r w:rsidRPr="00B4311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>5</w:t>
                  </w:r>
                  <w:r w:rsidRPr="00B4311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, </w:t>
                  </w:r>
                  <w:proofErr w:type="spellStart"/>
                  <w:proofErr w:type="gramStart"/>
                  <w:r w:rsidRPr="00B4311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против</w:t>
                  </w:r>
                  <w:proofErr w:type="spellEnd"/>
                  <w:r w:rsidRPr="00B4311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  0</w:t>
                  </w:r>
                  <w:proofErr w:type="gramEnd"/>
                  <w:r w:rsidRPr="00B4311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.</w:t>
                  </w:r>
                </w:p>
              </w:tc>
            </w:tr>
          </w:tbl>
          <w:p w:rsidR="009B6111" w:rsidRPr="00BA5CEC" w:rsidRDefault="009B6111" w:rsidP="009B6111">
            <w:pPr>
              <w:spacing w:after="0" w:line="240" w:lineRule="auto"/>
              <w:rPr>
                <w:lang w:val="ru-RU"/>
              </w:rPr>
            </w:pPr>
          </w:p>
        </w:tc>
      </w:tr>
      <w:tr w:rsidR="009B6111" w:rsidRPr="003905F8" w:rsidTr="00F41DDF">
        <w:trPr>
          <w:trHeight w:val="339"/>
        </w:trPr>
        <w:tc>
          <w:tcPr>
            <w:tcW w:w="15240" w:type="dxa"/>
            <w:gridSpan w:val="19"/>
            <w:shd w:val="solid" w:color="FFFFFF" w:fill="auto"/>
          </w:tcPr>
          <w:p w:rsidR="009B6111" w:rsidRPr="00C93AF1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>9</w:t>
            </w:r>
            <w:r w:rsidRPr="00C93AF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</w:t>
            </w:r>
            <w:r w:rsidRPr="00B43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Информация об </w:t>
            </w:r>
            <w:r w:rsidRPr="008237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отобранных </w:t>
            </w:r>
            <w:r w:rsidRPr="00B43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участниках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и</w:t>
            </w:r>
            <w:r w:rsidRPr="008237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не признанных </w:t>
            </w:r>
            <w:proofErr w:type="gramStart"/>
            <w:r w:rsidRPr="008237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таковыми</w:t>
            </w:r>
            <w:r w:rsidRPr="00B43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Pr="00C93AF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proofErr w:type="gramEnd"/>
          </w:p>
        </w:tc>
      </w:tr>
      <w:tr w:rsidR="009B6111" w:rsidRPr="003905F8" w:rsidTr="00F41DDF">
        <w:trPr>
          <w:trHeight w:val="276"/>
        </w:trPr>
        <w:tc>
          <w:tcPr>
            <w:tcW w:w="15240" w:type="dxa"/>
            <w:gridSpan w:val="19"/>
            <w:shd w:val="solid" w:color="FFFFFF" w:fill="auto"/>
          </w:tcPr>
          <w:p w:rsidR="009B6111" w:rsidRPr="00802D1B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9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Pr="00FB15BB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статьи 34 Закона РА "О закупках", из числа участников, заявки которых были </w:t>
            </w:r>
            <w:proofErr w:type="spellStart"/>
            <w:r w:rsidRPr="00FB15BB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Pr="00FB15BB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:</w:t>
            </w:r>
          </w:p>
        </w:tc>
      </w:tr>
      <w:tr w:rsidR="009B6111" w:rsidRPr="00236BA8" w:rsidTr="00A778F1">
        <w:trPr>
          <w:trHeight w:val="332"/>
        </w:trPr>
        <w:tc>
          <w:tcPr>
            <w:tcW w:w="15240" w:type="dxa"/>
            <w:gridSpan w:val="19"/>
            <w:shd w:val="solid" w:color="FFFFFF" w:fill="auto"/>
          </w:tcPr>
          <w:p w:rsidR="009B6111" w:rsidRPr="00F27E4A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F27E4A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По лоту </w:t>
            </w:r>
            <w:r w:rsidRPr="00F27E4A">
              <w:rPr>
                <w:rFonts w:ascii="GHEA Grapalat" w:hAnsi="GHEA Grapalat" w:cs="GHEA Grapalat"/>
                <w:b/>
                <w:color w:val="000000"/>
              </w:rPr>
              <w:t>N</w:t>
            </w:r>
            <w:r w:rsidRPr="00F27E4A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1</w:t>
            </w:r>
          </w:p>
        </w:tc>
      </w:tr>
      <w:tr w:rsidR="009B6111" w:rsidRPr="003905F8" w:rsidTr="00A778F1">
        <w:trPr>
          <w:trHeight w:val="706"/>
        </w:trPr>
        <w:tc>
          <w:tcPr>
            <w:tcW w:w="15240" w:type="dxa"/>
            <w:gridSpan w:val="19"/>
            <w:shd w:val="solid" w:color="FFFFFF" w:fill="auto"/>
          </w:tcPr>
          <w:p w:rsidR="009B6111" w:rsidRPr="00515AD4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B15BB">
              <w:rPr>
                <w:rFonts w:ascii="GHEA Grapalat" w:hAnsi="GHEA Grapalat" w:cs="GHEA Grapalat"/>
                <w:color w:val="000000"/>
                <w:lang w:val="ru-RU"/>
              </w:rPr>
              <w:t>Занявшим 1-ое место и отобранным участником признать</w:t>
            </w: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«Гарант Моторс» ООО</w:t>
            </w: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 xml:space="preserve">; </w:t>
            </w:r>
          </w:p>
          <w:p w:rsidR="009B6111" w:rsidRPr="00515AD4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 xml:space="preserve">2-ое место признать за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Мушегян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Агван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Аркадевич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» Ч/П</w:t>
            </w: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>;</w:t>
            </w:r>
          </w:p>
          <w:p w:rsidR="009B6111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 xml:space="preserve">3-ое место признать </w:t>
            </w:r>
            <w:proofErr w:type="gramStart"/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 xml:space="preserve">за </w:t>
            </w:r>
            <w:r w:rsidRPr="00B30E86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proofErr w:type="gram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ЭММИ АВТОХАУС» ООО</w:t>
            </w: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>;</w:t>
            </w:r>
          </w:p>
          <w:p w:rsidR="003E7221" w:rsidRDefault="003E7221" w:rsidP="009B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4</w:t>
            </w: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>-ое место признать за</w:t>
            </w:r>
            <w:r w:rsidRPr="00B30E86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«ЛУКСОРИЯ» ООО</w:t>
            </w: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>;</w:t>
            </w:r>
          </w:p>
          <w:p w:rsidR="003E7221" w:rsidRPr="00802D1B" w:rsidRDefault="003E7221" w:rsidP="009B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5</w:t>
            </w: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>-ое место признать за</w:t>
            </w:r>
            <w:r w:rsidRPr="00B30E86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Турболайн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» ООО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9B6111" w:rsidRPr="00C12201" w:rsidTr="00A778F1">
        <w:trPr>
          <w:trHeight w:val="281"/>
        </w:trPr>
        <w:tc>
          <w:tcPr>
            <w:tcW w:w="15240" w:type="dxa"/>
            <w:gridSpan w:val="19"/>
            <w:shd w:val="solid" w:color="FFFFFF" w:fill="auto"/>
          </w:tcPr>
          <w:p w:rsidR="009B6111" w:rsidRPr="00F27E4A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F27E4A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По лоту </w:t>
            </w:r>
            <w:r w:rsidRPr="00F27E4A">
              <w:rPr>
                <w:rFonts w:ascii="GHEA Grapalat" w:hAnsi="GHEA Grapalat" w:cs="GHEA Grapalat"/>
                <w:b/>
                <w:color w:val="000000"/>
              </w:rPr>
              <w:t>N</w:t>
            </w:r>
            <w:r w:rsidRPr="00F27E4A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2</w:t>
            </w:r>
          </w:p>
        </w:tc>
      </w:tr>
      <w:tr w:rsidR="009B6111" w:rsidRPr="003905F8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3E7221" w:rsidRPr="00515AD4" w:rsidRDefault="003E7221" w:rsidP="003E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B15BB">
              <w:rPr>
                <w:rFonts w:ascii="GHEA Grapalat" w:hAnsi="GHEA Grapalat" w:cs="GHEA Grapalat"/>
                <w:color w:val="000000"/>
                <w:lang w:val="ru-RU"/>
              </w:rPr>
              <w:t>Занявшим 1-ое место и отобранным участником признать</w:t>
            </w: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«Гарант Моторс» ООО</w:t>
            </w: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 xml:space="preserve">; </w:t>
            </w:r>
          </w:p>
          <w:p w:rsidR="003E7221" w:rsidRPr="00515AD4" w:rsidRDefault="003E7221" w:rsidP="003E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 xml:space="preserve">2-ое место признать за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Мушегян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Агван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Аркадевич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» Ч/П</w:t>
            </w: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>;</w:t>
            </w:r>
          </w:p>
          <w:p w:rsidR="003E7221" w:rsidRDefault="003E7221" w:rsidP="003E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 xml:space="preserve">3-ое место признать </w:t>
            </w:r>
            <w:proofErr w:type="gramStart"/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 xml:space="preserve">за </w:t>
            </w:r>
            <w:r w:rsidRPr="00B30E86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proofErr w:type="gram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ЭММИ АВТОХАУС» ООО</w:t>
            </w: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>;</w:t>
            </w:r>
          </w:p>
          <w:p w:rsidR="003E7221" w:rsidRDefault="003E7221" w:rsidP="003E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4</w:t>
            </w: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>-ое место признать за</w:t>
            </w:r>
            <w:r w:rsidRPr="00B30E86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«ЛУКСОРИЯ» ООО</w:t>
            </w: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>;</w:t>
            </w:r>
          </w:p>
          <w:p w:rsidR="009B6111" w:rsidRPr="00802D1B" w:rsidRDefault="003E7221" w:rsidP="003E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5</w:t>
            </w:r>
            <w:r w:rsidRPr="00515AD4">
              <w:rPr>
                <w:rFonts w:ascii="GHEA Grapalat" w:hAnsi="GHEA Grapalat" w:cs="GHEA Grapalat"/>
                <w:color w:val="000000"/>
                <w:lang w:val="ru-RU"/>
              </w:rPr>
              <w:t>-ое место признать за</w:t>
            </w:r>
            <w:r w:rsidRPr="00B30E86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proofErr w:type="spellStart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Турболайн</w:t>
            </w:r>
            <w:proofErr w:type="spellEnd"/>
            <w:r w:rsidR="006E621B" w:rsidRPr="00AA3048">
              <w:rPr>
                <w:rFonts w:ascii="GHEA Grapalat" w:hAnsi="GHEA Grapalat" w:cs="GHEA Grapalat"/>
                <w:color w:val="000000"/>
                <w:lang w:val="ru-RU"/>
              </w:rPr>
              <w:t>» ООО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9B6111" w:rsidRPr="00C93AF1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9B6111" w:rsidRPr="00802D1B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9B6111" w:rsidRPr="00F27E4A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9B6111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>
              <w:rPr>
                <w:rFonts w:ascii="GHEA Grapalat" w:hAnsi="GHEA Grapalat" w:cs="GHEA Grapalat"/>
                <w:b/>
                <w:bCs/>
                <w:color w:val="000000"/>
              </w:rPr>
              <w:t>0</w:t>
            </w:r>
            <w:r w:rsidRPr="00802D1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результатах оценк</w:t>
            </w:r>
            <w:r w:rsidRPr="00802D1B">
              <w:rPr>
                <w:rFonts w:ascii="GHEA Grapalat" w:hAnsi="GHEA Grapalat" w:cs="GHEA Grapalat"/>
                <w:b/>
                <w:bCs/>
                <w:color w:val="000000"/>
              </w:rPr>
              <w:t>и</w:t>
            </w:r>
            <w:r w:rsidRPr="00802D1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9B6111" w:rsidRPr="003905F8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9B6111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10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1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Утвердить текст декларации о решении о подписании договора</w:t>
            </w:r>
            <w:r w:rsidR="006E621B">
              <w:rPr>
                <w:rFonts w:ascii="GHEA Grapalat" w:hAnsi="GHEA Grapalat" w:cs="GHEA Grapalat"/>
                <w:color w:val="000000"/>
                <w:lang w:val="ru-RU"/>
              </w:rPr>
              <w:t xml:space="preserve"> по лотам 1 и 2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, согласно 10-ой статьи  Закона РА «О закупках», по которому устанавливается период бездействия с даты публикации объявления включ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ая период 10-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ого календарного дня, и по истечении периода бездействия подать предложение о заключении договора в соответствии с порядком электронной покупки по системе ARMEPS.</w:t>
            </w:r>
          </w:p>
        </w:tc>
      </w:tr>
      <w:tr w:rsidR="009B6111" w:rsidRPr="00F27E4A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9B6111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9B6111" w:rsidRPr="003905F8" w:rsidTr="00774421">
        <w:trPr>
          <w:trHeight w:val="432"/>
        </w:trPr>
        <w:tc>
          <w:tcPr>
            <w:tcW w:w="15240" w:type="dxa"/>
            <w:gridSpan w:val="19"/>
            <w:shd w:val="solid" w:color="FFFFFF" w:fill="auto"/>
          </w:tcPr>
          <w:p w:rsidR="009B6111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B6111" w:rsidRPr="00F170AD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Оценочная Комиссия процесса закупки</w:t>
            </w:r>
          </w:p>
          <w:p w:rsidR="009B6111" w:rsidRPr="006D6C4E" w:rsidRDefault="009B6111" w:rsidP="009B6111">
            <w:pPr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F170AD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од кодом </w:t>
            </w:r>
            <w:r w:rsidRPr="00401BCD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6D6C4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ՀՀԿԳՄՍՆԳՀԾՁԲ</w:t>
            </w:r>
            <w:r w:rsidR="006E621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-25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="006E621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25</w:t>
            </w:r>
            <w:r w:rsidRPr="00401BCD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246DB9" w:rsidRPr="006D6C4E" w:rsidRDefault="00246DB9" w:rsidP="009205AA">
      <w:pPr>
        <w:rPr>
          <w:lang w:val="ru-RU"/>
        </w:rPr>
      </w:pPr>
    </w:p>
    <w:sectPr w:rsidR="00246DB9" w:rsidRPr="006D6C4E" w:rsidSect="003E7221">
      <w:pgSz w:w="15840" w:h="12240" w:orient="landscape"/>
      <w:pgMar w:top="270" w:right="450" w:bottom="6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332D0"/>
    <w:rsid w:val="000669FF"/>
    <w:rsid w:val="00067602"/>
    <w:rsid w:val="000C7455"/>
    <w:rsid w:val="000D4CFA"/>
    <w:rsid w:val="0010225E"/>
    <w:rsid w:val="00105478"/>
    <w:rsid w:val="00112261"/>
    <w:rsid w:val="00133DCD"/>
    <w:rsid w:val="001501FA"/>
    <w:rsid w:val="00150898"/>
    <w:rsid w:val="00190476"/>
    <w:rsid w:val="0022225B"/>
    <w:rsid w:val="00236BA8"/>
    <w:rsid w:val="00246DB9"/>
    <w:rsid w:val="00253D64"/>
    <w:rsid w:val="00270726"/>
    <w:rsid w:val="0029479F"/>
    <w:rsid w:val="00344958"/>
    <w:rsid w:val="00347E21"/>
    <w:rsid w:val="00372AE6"/>
    <w:rsid w:val="003905F8"/>
    <w:rsid w:val="003B060E"/>
    <w:rsid w:val="003D36A9"/>
    <w:rsid w:val="003E7221"/>
    <w:rsid w:val="004023DD"/>
    <w:rsid w:val="004551F1"/>
    <w:rsid w:val="004C390B"/>
    <w:rsid w:val="004E43E9"/>
    <w:rsid w:val="00515AD4"/>
    <w:rsid w:val="00576996"/>
    <w:rsid w:val="006069F1"/>
    <w:rsid w:val="0062273D"/>
    <w:rsid w:val="00637357"/>
    <w:rsid w:val="006658D1"/>
    <w:rsid w:val="006805E9"/>
    <w:rsid w:val="006C778E"/>
    <w:rsid w:val="006D6C4E"/>
    <w:rsid w:val="006E621B"/>
    <w:rsid w:val="006E629F"/>
    <w:rsid w:val="00707BEC"/>
    <w:rsid w:val="00774421"/>
    <w:rsid w:val="007761C8"/>
    <w:rsid w:val="007B2239"/>
    <w:rsid w:val="007B3700"/>
    <w:rsid w:val="00802D1B"/>
    <w:rsid w:val="009205AA"/>
    <w:rsid w:val="0092313F"/>
    <w:rsid w:val="00951489"/>
    <w:rsid w:val="00962B35"/>
    <w:rsid w:val="00986612"/>
    <w:rsid w:val="009B6111"/>
    <w:rsid w:val="009E6B3C"/>
    <w:rsid w:val="00A00521"/>
    <w:rsid w:val="00A3600E"/>
    <w:rsid w:val="00A778F1"/>
    <w:rsid w:val="00A91DF0"/>
    <w:rsid w:val="00AA1659"/>
    <w:rsid w:val="00AA2AE5"/>
    <w:rsid w:val="00AA3048"/>
    <w:rsid w:val="00AA3BAB"/>
    <w:rsid w:val="00AB45D0"/>
    <w:rsid w:val="00AD37E6"/>
    <w:rsid w:val="00AF6B80"/>
    <w:rsid w:val="00B30E86"/>
    <w:rsid w:val="00B95A2F"/>
    <w:rsid w:val="00BF6582"/>
    <w:rsid w:val="00C12201"/>
    <w:rsid w:val="00C93AF1"/>
    <w:rsid w:val="00C958AC"/>
    <w:rsid w:val="00CC6AB0"/>
    <w:rsid w:val="00CC7ED9"/>
    <w:rsid w:val="00CD0856"/>
    <w:rsid w:val="00D20A6B"/>
    <w:rsid w:val="00D347B7"/>
    <w:rsid w:val="00D46176"/>
    <w:rsid w:val="00D572AA"/>
    <w:rsid w:val="00D65118"/>
    <w:rsid w:val="00D74809"/>
    <w:rsid w:val="00DB545F"/>
    <w:rsid w:val="00E0061C"/>
    <w:rsid w:val="00E75844"/>
    <w:rsid w:val="00EB4F5C"/>
    <w:rsid w:val="00EF3A61"/>
    <w:rsid w:val="00F23F0A"/>
    <w:rsid w:val="00F27E4A"/>
    <w:rsid w:val="00F41DDF"/>
    <w:rsid w:val="00F516ED"/>
    <w:rsid w:val="00F67E1E"/>
    <w:rsid w:val="00FC3BF2"/>
    <w:rsid w:val="00FE08E8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62E81-69DF-4EB9-83A9-54FE5FD7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50</cp:revision>
  <dcterms:created xsi:type="dcterms:W3CDTF">2020-03-05T16:11:00Z</dcterms:created>
  <dcterms:modified xsi:type="dcterms:W3CDTF">2025-03-24T14:30:00Z</dcterms:modified>
</cp:coreProperties>
</file>