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82C5" w14:textId="01D62695" w:rsidR="00966D40" w:rsidRDefault="00966D40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Contract Award Notice</w:t>
      </w:r>
    </w:p>
    <w:p w14:paraId="789F6ED0" w14:textId="77777777" w:rsidR="00850CA5" w:rsidRPr="004B4CC1" w:rsidRDefault="00850CA5" w:rsidP="00850CA5">
      <w:pPr>
        <w:pStyle w:val="NormalWeb"/>
        <w:tabs>
          <w:tab w:val="num" w:pos="1440"/>
        </w:tabs>
        <w:ind w:left="1440" w:right="288" w:hanging="72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4B4CC1">
        <w:rPr>
          <w:rFonts w:ascii="Verdana" w:eastAsia="Times New Roman" w:hAnsi="Verdana"/>
          <w:b/>
          <w:bCs/>
          <w:sz w:val="20"/>
          <w:szCs w:val="20"/>
        </w:rPr>
        <w:t>Local Economy and Infrastructure Development (LEID) Project</w:t>
      </w:r>
    </w:p>
    <w:p w14:paraId="522F38B6" w14:textId="176B1375" w:rsidR="00850CA5" w:rsidRDefault="00850CA5" w:rsidP="00850CA5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r>
        <w:rPr>
          <w:rFonts w:ascii="Verdana" w:eastAsia="Times New Roman" w:hAnsi="Verdana"/>
        </w:rPr>
        <w:t>Loan No.: P150327</w:t>
      </w:r>
    </w:p>
    <w:p w14:paraId="6793AB3C" w14:textId="77777777" w:rsidR="00966D40" w:rsidRDefault="00966D40" w:rsidP="00966D40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B018F1" w:rsidRPr="00E61A7B" w14:paraId="280C658A" w14:textId="77777777" w:rsidTr="00B018F1">
        <w:tc>
          <w:tcPr>
            <w:tcW w:w="2358" w:type="dxa"/>
            <w:shd w:val="clear" w:color="auto" w:fill="DBE5F1" w:themeFill="accent1" w:themeFillTint="33"/>
          </w:tcPr>
          <w:p w14:paraId="271D1DC0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230B1961" w14:textId="439AA610" w:rsidR="00B018F1" w:rsidRPr="006E2F96" w:rsidRDefault="00850CA5" w:rsidP="00850CA5">
            <w:pPr>
              <w:pStyle w:val="NormalWeb"/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1B2CAB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International Visitor Survey on National Level</w:t>
            </w: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 xml:space="preserve"> Ref No:</w:t>
            </w:r>
            <w:r w:rsidRPr="001B2CAB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 xml:space="preserve"> LEID-IVS-02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BD974C7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6061EEA0" w14:textId="0C422DB5" w:rsidR="00B018F1" w:rsidRPr="0041561A" w:rsidRDefault="00850CA5" w:rsidP="00FE1F89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75</w:t>
            </w:r>
          </w:p>
        </w:tc>
      </w:tr>
    </w:tbl>
    <w:p w14:paraId="7EA02ACF" w14:textId="77777777" w:rsidR="00966D40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358"/>
        <w:gridCol w:w="2970"/>
        <w:gridCol w:w="2520"/>
        <w:gridCol w:w="2430"/>
      </w:tblGrid>
      <w:tr w:rsidR="00850CA5" w:rsidRPr="00BE3C15" w14:paraId="0937376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973292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F01F" w14:textId="70BE1FE1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IZI Metodi, Analisi e Valutazioni economiche S.p.A. (Italy) and AM Partners Consulting Company (Armenia) JV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8A03" w14:textId="6B073D8B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Ameria CJSC (Armenia) and DevStat (Spain) JV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1EEC" w14:textId="5CD5CDE6" w:rsidR="00850CA5" w:rsidRPr="00592305" w:rsidRDefault="00850CA5" w:rsidP="00FE1F89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Target Euro Srl (Italy) and Grant Thornton Consulting CJSC (Armenia) and Grant Thornton CJSC (Armenia) JV</w:t>
            </w:r>
          </w:p>
        </w:tc>
      </w:tr>
      <w:tr w:rsidR="00850CA5" w:rsidRPr="00BE3C15" w14:paraId="1A3601F0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61575" w14:textId="77777777" w:rsidR="00850CA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092" w14:textId="0574F7F5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Italy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BD6D" w14:textId="26A0083D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Armenia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0E4" w14:textId="3082AFBA" w:rsidR="00850CA5" w:rsidRPr="00592305" w:rsidRDefault="00850CA5" w:rsidP="00850CA5">
            <w:pPr>
              <w:jc w:val="center"/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</w:pPr>
            <w:r w:rsidRPr="00592305">
              <w:rPr>
                <w:rFonts w:ascii="Verdana" w:eastAsiaTheme="minorEastAsia" w:hAnsi="Verdana"/>
                <w:i/>
                <w:noProof w:val="0"/>
                <w:color w:val="548DD4" w:themeColor="text2" w:themeTint="99"/>
                <w:sz w:val="18"/>
                <w:szCs w:val="18"/>
              </w:rPr>
              <w:t>Italy</w:t>
            </w:r>
          </w:p>
        </w:tc>
      </w:tr>
      <w:tr w:rsidR="00A46FF9" w:rsidRPr="00BE3C15" w14:paraId="0A382F8D" w14:textId="77777777" w:rsidTr="002B386E">
        <w:trPr>
          <w:trHeight w:val="687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F51620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E9D78" w14:textId="77777777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 Consultant/Firm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E83F" w14:textId="77777777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C3633" w14:textId="767F0BD5" w:rsidR="00A46FF9" w:rsidRPr="00BE3C15" w:rsidRDefault="00A46FF9" w:rsidP="00595B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</w:t>
            </w:r>
          </w:p>
        </w:tc>
      </w:tr>
      <w:tr w:rsidR="00A46FF9" w:rsidRPr="00BE3C15" w14:paraId="4CB4C953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2A3E11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C0DF5" w14:textId="46FCF642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91.16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04C8B" w14:textId="32869B3F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87.51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2B41E" w14:textId="791F9B9F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Consultant has not passed minimum qualifying technical score</w:t>
            </w:r>
          </w:p>
        </w:tc>
      </w:tr>
      <w:tr w:rsidR="00A46FF9" w:rsidRPr="00BE3C15" w14:paraId="4BE04E26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9C5AAE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FA3C5" w14:textId="5BECF4BB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A9F40" w14:textId="70FE8DA9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8CA">
              <w:rPr>
                <w:rFonts w:ascii="Verdana" w:hAnsi="Verdana"/>
                <w:sz w:val="18"/>
              </w:rPr>
              <w:t>66.02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86390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46FF9" w:rsidRPr="00BE3C15" w14:paraId="2E84D1F4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22E28A" w14:textId="77777777" w:rsidR="00A46FF9" w:rsidRPr="00BE3C15" w:rsidRDefault="00A46FF9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9C711" w14:textId="365AF16D" w:rsidR="00A46FF9" w:rsidRPr="0041561A" w:rsidRDefault="00A46FF9" w:rsidP="00A46FF9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E551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92.93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67F43" w14:textId="708D7B10" w:rsidR="00A46FF9" w:rsidRPr="00BE3C15" w:rsidRDefault="00A46FF9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511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83.21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A0A" w14:textId="77777777" w:rsidR="00A46FF9" w:rsidRPr="00BE3C15" w:rsidRDefault="00A46FF9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2FA14A91" w14:textId="77777777" w:rsidTr="002B386E">
        <w:tc>
          <w:tcPr>
            <w:tcW w:w="235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38773BE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420AF2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AAD3AE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B0184E" w14:textId="77777777" w:rsidR="00850CA5" w:rsidRPr="00BE3C15" w:rsidRDefault="00850CA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27F22590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B67B89" w14:textId="0863DFF3" w:rsidR="002B386E" w:rsidRPr="00BE3C15" w:rsidRDefault="002B386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(i) Specific experience of the Consultant (as a firm) relevant to the Assignment: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0EF6" w14:textId="557EDA86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4.84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C530" w14:textId="2434C040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87.51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FF0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0EE2CB25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97C408" w14:textId="7B398850" w:rsidR="002B386E" w:rsidRPr="00BE3C15" w:rsidRDefault="002B386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(ii) Adequacy and quality of the proposed methodology, and  work plan in responding to the Terms of Reference (TORs):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1BA8" w14:textId="7E922A08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28.80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D114" w14:textId="16C0221B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4.48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93FB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2AA20547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97FE71" w14:textId="5B32A91A" w:rsidR="002B386E" w:rsidRPr="00BE3C15" w:rsidRDefault="002B386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(iii) Key  Experts’ qualifications and competence for the Assignment: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091123" w14:textId="48636F90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54.10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34E9E" w14:textId="63E92AE4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25.86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06FE8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389A3A44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862D00B" w14:textId="77777777" w:rsidR="002B386E" w:rsidRDefault="002B386E" w:rsidP="00161330">
            <w:pPr>
              <w:rPr>
                <w:b/>
                <w:color w:val="000000"/>
                <w:sz w:val="21"/>
                <w:szCs w:val="21"/>
              </w:rPr>
            </w:pPr>
            <w:r w:rsidRPr="00CC06A1">
              <w:rPr>
                <w:b/>
                <w:color w:val="000000"/>
                <w:sz w:val="21"/>
                <w:szCs w:val="21"/>
              </w:rPr>
              <w:t>(iv) Participation by nationals among proposed Key Experts</w:t>
            </w:r>
          </w:p>
          <w:p w14:paraId="24B14126" w14:textId="418E3A63" w:rsidR="002B386E" w:rsidRPr="00BE3C15" w:rsidRDefault="002B386E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D05CD" w14:textId="29BBCE7E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10E6">
              <w:rPr>
                <w:b/>
                <w:sz w:val="21"/>
                <w:szCs w:val="21"/>
              </w:rPr>
              <w:t>3.42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46FC0" w14:textId="031F58CE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A70B9">
              <w:rPr>
                <w:b/>
                <w:sz w:val="21"/>
                <w:szCs w:val="21"/>
              </w:rPr>
              <w:t>53.08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5ADD3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0F8C4088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8CAF30B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AAE7B" w14:textId="1E38E2C4" w:rsidR="00850CA5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USD </w:t>
            </w:r>
            <w:r>
              <w:rPr>
                <w:b/>
                <w:bCs/>
                <w:color w:val="000000"/>
                <w:sz w:val="21"/>
                <w:szCs w:val="21"/>
              </w:rPr>
              <w:t>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49B72" w14:textId="19D383F3" w:rsidR="00850CA5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2B386E">
              <w:rPr>
                <w:b/>
                <w:bCs/>
                <w:color w:val="000000"/>
                <w:sz w:val="21"/>
                <w:szCs w:val="21"/>
              </w:rPr>
              <w:t xml:space="preserve">AMD </w:t>
            </w:r>
            <w:r>
              <w:rPr>
                <w:b/>
                <w:bCs/>
                <w:color w:val="000000"/>
                <w:sz w:val="21"/>
                <w:szCs w:val="21"/>
              </w:rPr>
              <w:t>215,604,960.00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527C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1ABDCB30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9460F3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7FEF3" w14:textId="07604B1B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4DA0">
              <w:rPr>
                <w:b/>
                <w:bCs/>
                <w:color w:val="000000"/>
                <w:sz w:val="21"/>
                <w:szCs w:val="21"/>
              </w:rPr>
              <w:t>USD 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CA4B8" w14:textId="518ED1C4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2B386E">
              <w:rPr>
                <w:b/>
                <w:bCs/>
                <w:color w:val="000000"/>
                <w:sz w:val="21"/>
                <w:szCs w:val="21"/>
              </w:rPr>
              <w:t xml:space="preserve">AMD </w:t>
            </w:r>
            <w:r>
              <w:rPr>
                <w:b/>
                <w:bCs/>
                <w:color w:val="000000"/>
                <w:sz w:val="21"/>
                <w:szCs w:val="21"/>
              </w:rPr>
              <w:t>215,604,960.00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0962C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386E" w:rsidRPr="00BE3C15" w14:paraId="0119C3B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28A290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15C01" w14:textId="142DEC61" w:rsidR="002B386E" w:rsidRPr="00BE3C15" w:rsidRDefault="002B386E" w:rsidP="002B38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4DA0">
              <w:rPr>
                <w:b/>
                <w:bCs/>
                <w:color w:val="000000"/>
                <w:sz w:val="21"/>
                <w:szCs w:val="21"/>
              </w:rPr>
              <w:t>USD 359,897.00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38F93" w14:textId="7A6DBB5B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D4DAE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39EFB86D" w14:textId="77777777" w:rsidTr="002B386E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76CDA0" w14:textId="77777777" w:rsidR="00850CA5" w:rsidRPr="00BE3C15" w:rsidRDefault="00850CA5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B542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87073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8A1B0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CA5" w:rsidRPr="00BE3C15" w14:paraId="4444A866" w14:textId="77777777" w:rsidTr="002B386E">
        <w:tc>
          <w:tcPr>
            <w:tcW w:w="23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82FF1F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  <w:p w14:paraId="088213B8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B29F4" w14:textId="77777777" w:rsidR="00850CA5" w:rsidRPr="00BE3C15" w:rsidRDefault="00850CA5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51A48" w14:textId="77777777" w:rsidR="00850CA5" w:rsidRPr="00BE3C15" w:rsidRDefault="00850CA5" w:rsidP="00A46F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23D40" w14:textId="77777777" w:rsidR="00850CA5" w:rsidRPr="00BE3C15" w:rsidRDefault="00850CA5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FD3D54" w14:textId="3F736E03" w:rsidR="00966D40" w:rsidRPr="004C56AD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4C56AD">
        <w:rPr>
          <w:rFonts w:ascii="Verdana" w:hAnsi="Verdana"/>
          <w:sz w:val="18"/>
          <w:szCs w:val="18"/>
        </w:rPr>
        <w:t>Other Shortlisted Consultant(s)/Firm(s</w:t>
      </w:r>
      <w:proofErr w:type="gramStart"/>
      <w:r w:rsidRPr="004C56AD">
        <w:rPr>
          <w:rFonts w:ascii="Verdana" w:hAnsi="Verdana"/>
          <w:sz w:val="18"/>
          <w:szCs w:val="18"/>
        </w:rPr>
        <w:t>)</w:t>
      </w:r>
      <w:r w:rsidR="00592305">
        <w:rPr>
          <w:rFonts w:ascii="Verdana" w:hAnsi="Verdana"/>
          <w:sz w:val="18"/>
          <w:szCs w:val="18"/>
        </w:rPr>
        <w:t>-</w:t>
      </w:r>
      <w:proofErr w:type="gramEnd"/>
      <w:r w:rsidR="00592305">
        <w:rPr>
          <w:rFonts w:ascii="Verdana" w:hAnsi="Verdana"/>
          <w:sz w:val="18"/>
          <w:szCs w:val="18"/>
        </w:rPr>
        <w:t xml:space="preserve"> </w:t>
      </w:r>
      <w:r w:rsidRPr="004C56AD">
        <w:rPr>
          <w:rFonts w:ascii="Verdana" w:hAnsi="Verdana"/>
          <w:sz w:val="18"/>
          <w:szCs w:val="18"/>
        </w:rPr>
        <w:t xml:space="preserve"> </w:t>
      </w:r>
      <w:r w:rsidR="00592305" w:rsidRPr="00592305">
        <w:rPr>
          <w:rFonts w:ascii="Verdana" w:hAnsi="Verdana"/>
          <w:i/>
          <w:color w:val="548DD4" w:themeColor="text2" w:themeTint="99"/>
          <w:sz w:val="18"/>
          <w:szCs w:val="18"/>
        </w:rPr>
        <w:t>N/A</w:t>
      </w:r>
      <w:bookmarkStart w:id="0" w:name="_GoBack"/>
      <w:bookmarkEnd w:id="0"/>
    </w:p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</w:tblGrid>
      <w:tr w:rsidR="002B386E" w:rsidRPr="00BE3C15" w14:paraId="5A4FEE9B" w14:textId="77777777" w:rsidTr="002B386E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626850D" w14:textId="77777777" w:rsidR="002B386E" w:rsidRPr="00BE3C15" w:rsidRDefault="002B386E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lastRenderedPageBreak/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CC7" w14:textId="16198F40" w:rsidR="002B386E" w:rsidRPr="00BE3C15" w:rsidRDefault="00592305" w:rsidP="00FE1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BF4" w14:textId="6D9946A4" w:rsidR="002B386E" w:rsidRPr="00BE3C15" w:rsidRDefault="00592305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2305" w:rsidRPr="00BE3C15" w14:paraId="2B943986" w14:textId="77777777" w:rsidTr="002B386E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818846" w14:textId="77777777" w:rsidR="00592305" w:rsidRDefault="0059230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C8B6" w14:textId="0151A212" w:rsidR="00592305" w:rsidRPr="006E2F96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BB72" w14:textId="33C34F9A" w:rsidR="00592305" w:rsidRDefault="00592305" w:rsidP="005923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2305" w:rsidRPr="00BE3C15" w14:paraId="7DED1BDA" w14:textId="77777777" w:rsidTr="002B386E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FA218" w14:textId="77777777" w:rsidR="00592305" w:rsidRPr="00BE3C15" w:rsidRDefault="0059230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5973" w14:textId="66D19039" w:rsidR="00592305" w:rsidRPr="0041561A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4573" w14:textId="1096D8C7" w:rsidR="00592305" w:rsidRPr="0041561A" w:rsidRDefault="00592305" w:rsidP="00592305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0C52789A" w14:textId="77777777" w:rsidR="00966D40" w:rsidRPr="003C3F36" w:rsidRDefault="00966D40" w:rsidP="00966D40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52E96FE8" w14:textId="77777777" w:rsidR="00713E8C" w:rsidRDefault="00713E8C"/>
    <w:sectPr w:rsidR="00713E8C" w:rsidSect="00FE1F8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D67E" w14:textId="77777777" w:rsidR="006A2BB9" w:rsidRDefault="006A2BB9" w:rsidP="003D5297">
      <w:r>
        <w:separator/>
      </w:r>
    </w:p>
  </w:endnote>
  <w:endnote w:type="continuationSeparator" w:id="0">
    <w:p w14:paraId="6A50486B" w14:textId="77777777" w:rsidR="006A2BB9" w:rsidRDefault="006A2BB9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B2C8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7875D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09BC" w14:textId="77777777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592305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25FC5AF3" w14:textId="77777777" w:rsidR="00FE1F89" w:rsidRPr="003208FA" w:rsidRDefault="006A2BB9">
    <w:pPr>
      <w:pStyle w:val="Footer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E1F89" w:rsidRPr="00FE1F89">
      <w:rPr>
        <w:rFonts w:asciiTheme="minorHAnsi" w:hAnsiTheme="minorHAnsi"/>
        <w:sz w:val="18"/>
        <w:szCs w:val="18"/>
      </w:rPr>
      <w:t>QCBS-QBS-FBS-LCS-ContractAwardTemplate.docx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FAB3" w14:textId="77777777" w:rsidR="006A2BB9" w:rsidRDefault="006A2BB9" w:rsidP="003D5297">
      <w:r>
        <w:separator/>
      </w:r>
    </w:p>
  </w:footnote>
  <w:footnote w:type="continuationSeparator" w:id="0">
    <w:p w14:paraId="64083A95" w14:textId="77777777" w:rsidR="006A2BB9" w:rsidRDefault="006A2BB9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913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8E7"/>
    <w:rsid w:val="00091B30"/>
    <w:rsid w:val="00094C18"/>
    <w:rsid w:val="00096152"/>
    <w:rsid w:val="000A06C8"/>
    <w:rsid w:val="000A0B0A"/>
    <w:rsid w:val="000A1DDE"/>
    <w:rsid w:val="000A3C05"/>
    <w:rsid w:val="000A46BB"/>
    <w:rsid w:val="000A4FF7"/>
    <w:rsid w:val="000B15BD"/>
    <w:rsid w:val="000B34FE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B386E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2305"/>
    <w:rsid w:val="0059312A"/>
    <w:rsid w:val="00593715"/>
    <w:rsid w:val="00594B41"/>
    <w:rsid w:val="005954B3"/>
    <w:rsid w:val="00595B5C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A2BB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50CA5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239F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6FF9"/>
    <w:rsid w:val="00A47AD3"/>
    <w:rsid w:val="00A47D86"/>
    <w:rsid w:val="00A51EAB"/>
    <w:rsid w:val="00A52AA4"/>
    <w:rsid w:val="00A538BC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41A9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3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Mari Movsisyan</cp:lastModifiedBy>
  <cp:revision>4</cp:revision>
  <cp:lastPrinted>2012-02-09T14:31:00Z</cp:lastPrinted>
  <dcterms:created xsi:type="dcterms:W3CDTF">2022-12-15T09:17:00Z</dcterms:created>
  <dcterms:modified xsi:type="dcterms:W3CDTF">2022-12-15T10:01:00Z</dcterms:modified>
</cp:coreProperties>
</file>