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F05EBF" w:rsidP="001E66DB">
      <w:pPr>
        <w:pStyle w:val="BodyTextIndent"/>
        <w:tabs>
          <w:tab w:val="clear" w:pos="1134"/>
        </w:tabs>
        <w:spacing w:after="160" w:line="240" w:lineRule="auto"/>
        <w:ind w:firstLine="0"/>
        <w:jc w:val="center"/>
        <w:rPr>
          <w:rFonts w:ascii="GHEA Grapalat" w:hAnsi="GHEA Grapalat"/>
          <w:i w:val="0"/>
          <w:sz w:val="24"/>
          <w:szCs w:val="24"/>
        </w:rPr>
      </w:pPr>
      <w:r w:rsidRPr="00F05EBF">
        <w:rPr>
          <w:rFonts w:ascii="GHEA Grapalat" w:hAnsi="GHEA Grapalat"/>
          <w:i w:val="0"/>
          <w:sz w:val="24"/>
          <w:szCs w:val="24"/>
        </w:rPr>
        <w:t>11</w:t>
      </w:r>
      <w:r w:rsidR="008516DE" w:rsidRPr="001E66DB">
        <w:rPr>
          <w:rFonts w:ascii="GHEA Grapalat" w:hAnsi="GHEA Grapalat"/>
          <w:i w:val="0"/>
          <w:sz w:val="24"/>
          <w:szCs w:val="24"/>
        </w:rPr>
        <w:t xml:space="preserve">-го </w:t>
      </w:r>
      <w:r w:rsidR="00A44D73" w:rsidRPr="00A44D73">
        <w:rPr>
          <w:rFonts w:ascii="GHEA Grapalat" w:hAnsi="GHEA Grapalat"/>
          <w:i w:val="0"/>
          <w:sz w:val="24"/>
          <w:szCs w:val="24"/>
        </w:rPr>
        <w:t>ма</w:t>
      </w:r>
      <w:r w:rsidR="00A44D73" w:rsidRPr="003E3450">
        <w:rPr>
          <w:rFonts w:ascii="GHEA Grapalat" w:hAnsi="GHEA Grapalat"/>
          <w:i w:val="0"/>
          <w:sz w:val="24"/>
          <w:szCs w:val="24"/>
        </w:rPr>
        <w:t>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GHAPDzB-HVKAK-2021-3</w:t>
      </w:r>
      <w:r w:rsidR="00F05EBF" w:rsidRPr="00F05EBF">
        <w:rPr>
          <w:rFonts w:ascii="GHEA Grapalat" w:hAnsi="GHEA Grapalat"/>
          <w:i w:val="0"/>
          <w:sz w:val="24"/>
          <w:szCs w:val="24"/>
        </w:rPr>
        <w:t>9</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613D2E" w:rsidRPr="00613D2E">
        <w:rPr>
          <w:rFonts w:cs="Arial LatArm"/>
          <w:b/>
          <w:spacing w:val="6"/>
        </w:rPr>
        <w:t>аккумуляторов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F05EBF">
        <w:rPr>
          <w:b/>
          <w:lang w:val="hy-AM"/>
        </w:rPr>
        <w:t>12:00</w:t>
      </w:r>
      <w:r w:rsidR="009C4B38">
        <w:rPr>
          <w:b/>
        </w:rPr>
        <w:t xml:space="preserve">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Pr="00EA2C86">
        <w:rPr>
          <w:b/>
        </w:rPr>
        <w:t>Гераци</w:t>
      </w:r>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xml:space="preserve">, в </w:t>
      </w:r>
      <w:r w:rsidR="00F05EBF">
        <w:rPr>
          <w:b/>
          <w:lang w:val="hy-AM"/>
        </w:rPr>
        <w:t>12:00</w:t>
      </w:r>
      <w:r w:rsidRPr="00EA2C86">
        <w:rPr>
          <w:b/>
        </w:rPr>
        <w:t xml:space="preserve"> часов</w:t>
      </w:r>
      <w:r w:rsidRPr="00EA2C86">
        <w:rPr>
          <w:rFonts w:cs="Arial LatArm"/>
          <w:b/>
        </w:rPr>
        <w:t xml:space="preserve"> </w:t>
      </w:r>
      <w:r w:rsidR="00F05EBF">
        <w:rPr>
          <w:b/>
          <w:lang w:val="hy-AM"/>
        </w:rPr>
        <w:t>20</w:t>
      </w:r>
      <w:r w:rsidRPr="00EA2C86">
        <w:rPr>
          <w:b/>
        </w:rPr>
        <w:t>-го</w:t>
      </w:r>
      <w:r w:rsidRPr="00EA2C86">
        <w:rPr>
          <w:rFonts w:cs="Arial LatArm"/>
          <w:b/>
        </w:rPr>
        <w:t xml:space="preserve"> </w:t>
      </w:r>
      <w:r w:rsidR="00ED0E10" w:rsidRPr="009E65A6">
        <w:rPr>
          <w:b/>
        </w:rPr>
        <w:t>мая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F05EBF">
        <w:rPr>
          <w:b/>
        </w:rPr>
        <w:t>Погосян Вануи</w:t>
      </w:r>
      <w:r>
        <w:t>.</w:t>
      </w:r>
    </w:p>
    <w:p w:rsidR="008516DE" w:rsidRDefault="008516DE" w:rsidP="00CD65C1"/>
    <w:p w:rsidR="00F05EBF" w:rsidRDefault="008516DE" w:rsidP="00CD65C1">
      <w:r w:rsidRPr="00B60239">
        <w:t>Телефон</w:t>
      </w:r>
      <w:r w:rsidRPr="00B60239">
        <w:rPr>
          <w:rFonts w:cs="Arial LatArm"/>
        </w:rPr>
        <w:t xml:space="preserve">: </w:t>
      </w:r>
      <w:r w:rsidRPr="00B60239">
        <w:t>010-55-06-01</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GHAPDzB-HVKAK-2021-3</w:t>
      </w:r>
      <w:r w:rsidR="00F05EBF">
        <w:rPr>
          <w:i/>
        </w:rPr>
        <w:t>9</w:t>
      </w:r>
      <w:r w:rsidRPr="00C756FC">
        <w:rPr>
          <w:i/>
        </w:rPr>
        <w:t>»</w:t>
      </w:r>
      <w:r w:rsidRPr="00C756FC">
        <w:rPr>
          <w:i/>
        </w:rPr>
        <w:br/>
        <w:t xml:space="preserve">  № 1 от </w:t>
      </w:r>
      <w:r w:rsidR="00F05EBF">
        <w:rPr>
          <w:i/>
        </w:rPr>
        <w:t>11</w:t>
      </w:r>
      <w:r w:rsidRPr="00C756FC">
        <w:rPr>
          <w:i/>
        </w:rPr>
        <w:t xml:space="preserve">-го </w:t>
      </w:r>
      <w:r w:rsidR="009E65A6" w:rsidRPr="00B33645">
        <w:rPr>
          <w:i/>
        </w:rPr>
        <w:t>мая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w:t>
      </w:r>
      <w:r w:rsidR="00F05EBF" w:rsidRPr="00274A77">
        <w:rPr>
          <w:b/>
        </w:rPr>
        <w:t xml:space="preserve">ПРИОБРЕТЕНИЯ </w:t>
      </w:r>
      <w:r w:rsidR="00613D2E" w:rsidRPr="00613D2E">
        <w:rPr>
          <w:b/>
        </w:rPr>
        <w:t>АККУМУЛЯТОРОВ</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613D2E" w:rsidRPr="00613D2E">
        <w:rPr>
          <w:b/>
        </w:rPr>
        <w:t>АККУМУЛЯТОРОВ</w:t>
      </w:r>
      <w:r w:rsidR="007059A4" w:rsidRPr="00274A77">
        <w:rPr>
          <w:b/>
        </w:rPr>
        <w:t xml:space="preserve"> 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GHAPDzB-HVKAK-2021-3</w:t>
      </w:r>
      <w:r w:rsidR="0006372F">
        <w:rPr>
          <w:b/>
          <w:sz w:val="22"/>
          <w:szCs w:val="22"/>
        </w:rPr>
        <w:t>9</w:t>
      </w:r>
      <w:r w:rsidRPr="000C6117">
        <w:rPr>
          <w:b/>
          <w:sz w:val="22"/>
          <w:szCs w:val="22"/>
        </w:rPr>
        <w:t>»</w:t>
      </w:r>
      <w:r w:rsidRPr="006D2DF7">
        <w:t xml:space="preserve"> (далее — процедура).</w:t>
      </w:r>
    </w:p>
    <w:p w:rsidR="00713E87" w:rsidRPr="000B2CFA" w:rsidRDefault="00713E87" w:rsidP="00CD65C1">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613D2E" w:rsidRPr="00613D2E">
        <w:rPr>
          <w:b/>
        </w:rPr>
        <w:t>аккумуляторов</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06372F">
        <w:rPr>
          <w:b/>
        </w:rPr>
        <w:t>4</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06372F" w:rsidRDefault="00790ACD" w:rsidP="0006372F">
            <w:r w:rsidRPr="00E47DF9">
              <w:rPr>
                <w:lang w:val="en-US"/>
              </w:rPr>
              <w:t>1-</w:t>
            </w:r>
            <w:r w:rsidR="0006372F">
              <w:t>4</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w:t>
      </w:r>
      <w:r w:rsidRPr="009044F1">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r w:rsidRPr="009044F1">
        <w:lastRenderedPageBreak/>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w:t>
      </w:r>
      <w:r w:rsidR="00A425E2" w:rsidRPr="00205170">
        <w:lastRenderedPageBreak/>
        <w:t>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lastRenderedPageBreak/>
        <w:t>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Участник может подать заявку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r w:rsidR="0069157D" w:rsidRPr="00E063D7">
        <w:rPr>
          <w:b/>
          <w:sz w:val="22"/>
          <w:szCs w:val="22"/>
        </w:rPr>
        <w:t>Ереван, ул. М.Гераци</w:t>
      </w:r>
      <w:r w:rsidR="0069157D" w:rsidRPr="00E063D7">
        <w:rPr>
          <w:sz w:val="22"/>
          <w:szCs w:val="22"/>
        </w:rPr>
        <w:t xml:space="preserve">, не позднее, чем </w:t>
      </w:r>
      <w:r w:rsidR="0069157D">
        <w:rPr>
          <w:b/>
          <w:sz w:val="22"/>
          <w:szCs w:val="22"/>
        </w:rPr>
        <w:t xml:space="preserve">до </w:t>
      </w:r>
      <w:r w:rsidR="0006372F">
        <w:rPr>
          <w:b/>
          <w:sz w:val="22"/>
          <w:szCs w:val="22"/>
        </w:rPr>
        <w:t>12:00</w:t>
      </w:r>
      <w:r w:rsidR="0069157D">
        <w:rPr>
          <w:b/>
          <w:sz w:val="22"/>
          <w:szCs w:val="22"/>
        </w:rPr>
        <w:t xml:space="preserve">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06372F">
        <w:rPr>
          <w:b/>
        </w:rPr>
        <w:t>Погосян Вануи</w:t>
      </w:r>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w:t>
      </w:r>
      <w:r w:rsidR="003C5795">
        <w:lastRenderedPageBreak/>
        <w:t xml:space="preserve">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r>
        <w:t>д</w:t>
      </w:r>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lastRenderedPageBreak/>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lastRenderedPageBreak/>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 xml:space="preserve">й день в </w:t>
      </w:r>
      <w:r w:rsidR="002A034E">
        <w:rPr>
          <w:b/>
        </w:rPr>
        <w:t>12:00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 xml:space="preserve">рабочих дней со дня </w:t>
      </w:r>
      <w:r w:rsidR="009A796C" w:rsidRPr="009044F1">
        <w:lastRenderedPageBreak/>
        <w:t>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lastRenderedPageBreak/>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lastRenderedPageBreak/>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044F1">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lastRenderedPageBreak/>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 xml:space="preserve">Периодом ожидания является период времени между днем, следующим </w:t>
      </w:r>
      <w:r w:rsidRPr="009044F1">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r w:rsidR="00251CF9" w:rsidRPr="00250377">
        <w:t xml:space="preserve"> </w:t>
      </w:r>
      <w:r w:rsidR="0076763C" w:rsidRPr="00250377">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рассматривающего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 xml:space="preserve">Предложения участника, относящиеся к ним документы вкладываются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GHAPDzB-HVKAK-2021-3</w:t>
      </w:r>
      <w:r w:rsidR="00802CBE">
        <w:rPr>
          <w:rFonts w:ascii="GHEA Grapalat" w:hAnsi="GHEA Grapalat"/>
          <w:b/>
          <w:sz w:val="22"/>
          <w:szCs w:val="22"/>
        </w:rPr>
        <w:t>9</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r w:rsidRPr="00DA5EA0">
        <w:t>объявленного</w:t>
      </w:r>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GHAPDzB-HVKAK-2021-3</w:t>
      </w:r>
      <w:r w:rsidR="00802CBE">
        <w:rPr>
          <w:b/>
          <w:sz w:val="22"/>
          <w:szCs w:val="22"/>
        </w:rPr>
        <w:t>9</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Настоящим ______________________________объявляет и подтверждает,что:</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GHAPDzB-HVKAK-2021-3</w:t>
      </w:r>
      <w:r w:rsidR="00802CBE">
        <w:rPr>
          <w:rFonts w:ascii="GHEA Grapalat" w:hAnsi="GHEA Grapalat"/>
          <w:b/>
          <w:sz w:val="22"/>
          <w:szCs w:val="22"/>
        </w:rPr>
        <w:t>9</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GHAPDzB-HVKAK-2021-3</w:t>
      </w:r>
      <w:r w:rsidR="00802CBE">
        <w:rPr>
          <w:rFonts w:ascii="GHEA Grapalat" w:hAnsi="GHEA Grapalat"/>
          <w:b/>
          <w:sz w:val="22"/>
          <w:szCs w:val="22"/>
        </w:rPr>
        <w:t>9</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организаций, либо организаций, имеющих принадлежащую</w:t>
      </w:r>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GHAPDzB-HVKAK-2021-3</w:t>
      </w:r>
      <w:r w:rsidR="00802CBE">
        <w:rPr>
          <w:b/>
          <w:sz w:val="22"/>
          <w:szCs w:val="22"/>
        </w:rPr>
        <w:t>9</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под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GHAPDzB-HVKAK-2021-3</w:t>
      </w:r>
      <w:r w:rsidR="00802CBE">
        <w:rPr>
          <w:b/>
          <w:sz w:val="22"/>
          <w:szCs w:val="22"/>
        </w:rPr>
        <w:t>9</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GHAPDzB-HVKAK-2021-3</w:t>
      </w:r>
      <w:r w:rsidR="00802CBE">
        <w:rPr>
          <w:rFonts w:ascii="GHEA Grapalat" w:hAnsi="GHEA Grapalat"/>
          <w:b/>
          <w:sz w:val="22"/>
          <w:szCs w:val="22"/>
        </w:rPr>
        <w:t>9</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которивок под кодом </w:t>
      </w:r>
      <w:r w:rsidRPr="008C1E10">
        <w:t>«</w:t>
      </w:r>
      <w:r w:rsidR="003E3450">
        <w:rPr>
          <w:b/>
        </w:rPr>
        <w:t>GHAPDzB-HVKAK-2021-3</w:t>
      </w:r>
      <w:r w:rsidR="00802CBE">
        <w:rPr>
          <w:b/>
        </w:rPr>
        <w:t>9</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GHAPDzB-HVKAK-2021-3</w:t>
      </w:r>
      <w:r w:rsidR="00802CBE">
        <w:rPr>
          <w:b/>
          <w:sz w:val="22"/>
          <w:szCs w:val="22"/>
        </w:rPr>
        <w:t>9</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GHAPDzB-HVKAK-2021-3</w:t>
      </w:r>
      <w:r w:rsidR="00802CBE">
        <w:rPr>
          <w:b/>
          <w:sz w:val="22"/>
          <w:szCs w:val="22"/>
        </w:rPr>
        <w:t>9</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w:t>
      </w:r>
      <w:r w:rsidRPr="00B138F3">
        <w:rPr>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GHAPDzB-HVKAK-2021-3</w:t>
      </w:r>
      <w:r w:rsidR="00802CBE">
        <w:rPr>
          <w:b/>
          <w:sz w:val="22"/>
          <w:szCs w:val="22"/>
        </w:rPr>
        <w:t>9</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GHAPDzB-HVKAK-2021-3</w:t>
      </w:r>
      <w:r w:rsidR="00802CBE">
        <w:rPr>
          <w:b/>
          <w:sz w:val="22"/>
          <w:szCs w:val="22"/>
        </w:rPr>
        <w:t>9</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GHAPDzB-HVKAK-2021-3</w:t>
      </w:r>
      <w:r w:rsidR="00802CBE">
        <w:rPr>
          <w:rFonts w:ascii="GHEA Grapalat" w:hAnsi="GHEA Grapalat"/>
          <w:b/>
          <w:sz w:val="24"/>
          <w:szCs w:val="24"/>
        </w:rPr>
        <w:t>9</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r w:rsidRPr="00EF75CC">
        <w:rPr>
          <w:b/>
        </w:rPr>
        <w:t>А.Ваняна</w:t>
      </w:r>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EBF" w:rsidRDefault="00F05EBF" w:rsidP="00B360E2">
      <w:r>
        <w:separator/>
      </w:r>
    </w:p>
  </w:endnote>
  <w:endnote w:type="continuationSeparator" w:id="0">
    <w:p w:rsidR="00F05EBF" w:rsidRDefault="00F05EBF"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F05EBF" w:rsidRPr="00C861E9" w:rsidRDefault="005945E5" w:rsidP="00B360E2">
        <w:pPr>
          <w:pStyle w:val="Footer"/>
        </w:pPr>
        <w:fldSimple w:instr=" PAGE   \* MERGEFORMAT ">
          <w:r w:rsidR="00613D2E">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F05EBF" w:rsidRPr="00C861E9" w:rsidRDefault="005945E5">
        <w:pPr>
          <w:pStyle w:val="Footer"/>
          <w:jc w:val="center"/>
          <w:rPr>
            <w:sz w:val="24"/>
            <w:szCs w:val="24"/>
          </w:rPr>
        </w:pPr>
        <w:r w:rsidRPr="00C861E9">
          <w:rPr>
            <w:sz w:val="24"/>
            <w:szCs w:val="24"/>
          </w:rPr>
          <w:fldChar w:fldCharType="begin"/>
        </w:r>
        <w:r w:rsidR="00F05EBF" w:rsidRPr="00C861E9">
          <w:rPr>
            <w:sz w:val="24"/>
            <w:szCs w:val="24"/>
          </w:rPr>
          <w:instrText xml:space="preserve"> PAGE   \* MERGEFORMAT </w:instrText>
        </w:r>
        <w:r w:rsidRPr="00C861E9">
          <w:rPr>
            <w:sz w:val="24"/>
            <w:szCs w:val="24"/>
          </w:rPr>
          <w:fldChar w:fldCharType="separate"/>
        </w:r>
        <w:r w:rsidR="00613D2E">
          <w:rPr>
            <w:noProof/>
            <w:sz w:val="24"/>
            <w:szCs w:val="24"/>
          </w:rPr>
          <w:t>63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EBF" w:rsidRDefault="00F05EBF" w:rsidP="00B360E2">
      <w:r>
        <w:separator/>
      </w:r>
    </w:p>
  </w:footnote>
  <w:footnote w:type="continuationSeparator" w:id="0">
    <w:p w:rsidR="00F05EBF" w:rsidRDefault="00F05EBF" w:rsidP="00B360E2">
      <w:r>
        <w:continuationSeparator/>
      </w:r>
    </w:p>
  </w:footnote>
  <w:footnote w:id="1">
    <w:p w:rsidR="00F05EBF" w:rsidRPr="00A31673" w:rsidRDefault="00F05EBF"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F05EBF" w:rsidRPr="008416BA" w:rsidRDefault="00F05EBF" w:rsidP="0090055D">
      <w:pPr>
        <w:pStyle w:val="FootnoteText"/>
        <w:rPr>
          <w:rFonts w:ascii="GHEA Grapalat" w:hAnsi="GHEA Grapalat"/>
          <w:i/>
        </w:rPr>
      </w:pPr>
      <w:bookmarkStart w:id="0" w:name="_GoBack"/>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F05EBF" w:rsidRDefault="00F05EBF" w:rsidP="0090055D"/>
    <w:p w:rsidR="00F05EBF" w:rsidRDefault="00F05EBF"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05EBF" w:rsidRDefault="00F05EBF" w:rsidP="0090055D">
      <w:pPr>
        <w:pStyle w:val="FootnoteText"/>
        <w:rPr>
          <w:rFonts w:asciiTheme="minorHAnsi" w:hAnsiTheme="minorHAnsi"/>
          <w:lang w:val="af-ZA"/>
        </w:rPr>
      </w:pPr>
    </w:p>
  </w:footnote>
  <w:footnote w:id="3">
    <w:p w:rsidR="00F05EBF" w:rsidRPr="00D3436F" w:rsidRDefault="00F05EBF"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F05EBF" w:rsidRPr="00D3436F" w:rsidRDefault="00F05EBF" w:rsidP="0090055D">
      <w:pPr>
        <w:pStyle w:val="FootnoteText"/>
        <w:rPr>
          <w:lang w:val="es-ES"/>
        </w:rPr>
      </w:pPr>
    </w:p>
  </w:footnote>
  <w:footnote w:id="4">
    <w:p w:rsidR="00F05EBF" w:rsidRPr="008842CE" w:rsidRDefault="00F05EBF" w:rsidP="00602C9A">
      <w:pPr>
        <w:pStyle w:val="FootnoteText"/>
      </w:pPr>
    </w:p>
  </w:footnote>
  <w:footnote w:id="5">
    <w:p w:rsidR="00F05EBF" w:rsidRPr="00343969" w:rsidRDefault="00F05EBF" w:rsidP="00602C9A">
      <w:pPr>
        <w:pStyle w:val="FootnoteText"/>
        <w:rPr>
          <w:rFonts w:asciiTheme="minorHAnsi" w:hAnsiTheme="minorHAnsi"/>
        </w:rPr>
      </w:pPr>
    </w:p>
  </w:footnote>
  <w:footnote w:id="6">
    <w:p w:rsidR="00F05EBF" w:rsidRPr="00D3436F" w:rsidRDefault="00F05EBF"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F05EBF" w:rsidRPr="00402BC3" w:rsidRDefault="00F05EBF"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F05EBF" w:rsidRPr="00552088" w:rsidRDefault="00F05EBF"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F05EBF" w:rsidRPr="00D3436F" w:rsidRDefault="00F05EBF" w:rsidP="00B360E2">
      <w:pPr>
        <w:pStyle w:val="FootnoteText"/>
        <w:rPr>
          <w:lang w:val="hy-AM"/>
        </w:rPr>
      </w:pPr>
    </w:p>
  </w:footnote>
  <w:footnote w:id="8">
    <w:p w:rsidR="00F05EBF" w:rsidRPr="008842CE" w:rsidRDefault="00F05EBF"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F05EBF" w:rsidRPr="00D3436F" w:rsidRDefault="00F05EBF" w:rsidP="00B360E2">
      <w:pPr>
        <w:pStyle w:val="FootnoteText"/>
        <w:rPr>
          <w:lang w:val="hy-AM"/>
        </w:rPr>
      </w:pPr>
    </w:p>
  </w:footnote>
  <w:footnote w:id="9">
    <w:p w:rsidR="00F05EBF" w:rsidRPr="00D3436F" w:rsidRDefault="00F05EBF"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F05EBF" w:rsidRPr="008842CE" w:rsidRDefault="00F05EBF"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F05EBF" w:rsidRPr="00D3436F" w:rsidRDefault="00F05EBF" w:rsidP="00B360E2">
      <w:pPr>
        <w:pStyle w:val="FootnoteText"/>
        <w:rPr>
          <w:lang w:val="hy-AM"/>
        </w:rPr>
      </w:pPr>
    </w:p>
  </w:footnote>
  <w:footnote w:id="11">
    <w:p w:rsidR="00F05EBF" w:rsidRPr="00E861BF" w:rsidRDefault="00F05EBF"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72F"/>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83B"/>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34E"/>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5E5"/>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3D2E"/>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2CBE"/>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5EBF"/>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C4E0-DA0B-43E6-8AEE-5299747F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63</Pages>
  <Words>13613</Words>
  <Characters>99646</Characters>
  <Application>Microsoft Office Word</Application>
  <DocSecurity>0</DocSecurity>
  <Lines>830</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1065</cp:revision>
  <cp:lastPrinted>2018-02-16T07:12:00Z</cp:lastPrinted>
  <dcterms:created xsi:type="dcterms:W3CDTF">2019-10-28T07:04:00Z</dcterms:created>
  <dcterms:modified xsi:type="dcterms:W3CDTF">2021-05-12T06:00:00Z</dcterms:modified>
</cp:coreProperties>
</file>