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724D97">
        <w:rPr>
          <w:rFonts w:ascii="GHEA Grapalat" w:hAnsi="GHEA Grapalat"/>
          <w:color w:val="FF0000"/>
          <w:lang w:val="en-US"/>
        </w:rPr>
        <w:t>23</w:t>
      </w:r>
      <w:r w:rsidR="000E1459">
        <w:rPr>
          <w:rFonts w:ascii="GHEA Grapalat" w:hAnsi="GHEA Grapalat"/>
          <w:color w:val="FF0000"/>
          <w:lang w:val="en-US"/>
        </w:rPr>
        <w:t>.0</w:t>
      </w:r>
      <w:r w:rsidR="00724D97">
        <w:rPr>
          <w:rFonts w:ascii="GHEA Grapalat" w:hAnsi="GHEA Grapalat"/>
          <w:color w:val="FF0000"/>
          <w:lang w:val="en-US"/>
        </w:rPr>
        <w:t>8</w:t>
      </w:r>
      <w:r w:rsidR="000E1459">
        <w:rPr>
          <w:rFonts w:ascii="GHEA Grapalat" w:hAnsi="GHEA Grapalat"/>
          <w:color w:val="FF0000"/>
          <w:lang w:val="en-US"/>
        </w:rPr>
        <w:t>.2021</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BodyTextIndent"/>
        <w:spacing w:line="240" w:lineRule="auto"/>
        <w:ind w:left="567" w:right="565" w:firstLine="0"/>
        <w:jc w:val="center"/>
        <w:rPr>
          <w:rFonts w:ascii="GHEA Grapalat" w:hAnsi="GHEA Grapalat"/>
          <w:i w:val="0"/>
        </w:rPr>
      </w:pPr>
    </w:p>
    <w:p w:rsidR="0009597A" w:rsidRPr="00E73D7C" w:rsidRDefault="00E62B66" w:rsidP="00815D7C">
      <w:pPr>
        <w:pStyle w:val="BodyTextIndent"/>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F067FF">
        <w:rPr>
          <w:rFonts w:ascii="GHEA Grapalat" w:hAnsi="GHEA Grapalat"/>
          <w:b/>
          <w:color w:val="FF0000"/>
        </w:rPr>
        <w:t>HH PN</w:t>
      </w:r>
      <w:r w:rsidRPr="00F067FF">
        <w:rPr>
          <w:rFonts w:ascii="GHEA Grapalat" w:hAnsi="GHEA Grapalat"/>
          <w:b/>
          <w:color w:val="FF0000"/>
        </w:rPr>
        <w:t>-</w:t>
      </w:r>
      <w:r w:rsidR="000E1459" w:rsidRPr="00F067FF">
        <w:rPr>
          <w:rFonts w:ascii="GHEA Grapalat" w:hAnsi="GHEA Grapalat"/>
          <w:b/>
          <w:color w:val="FF0000"/>
        </w:rPr>
        <w:t>PNMKHTSDZB-</w:t>
      </w:r>
      <w:r w:rsidR="008857DA" w:rsidRPr="00F067FF">
        <w:rPr>
          <w:rFonts w:ascii="GHEA Grapalat" w:hAnsi="GHEA Grapalat"/>
          <w:b/>
          <w:color w:val="FF0000"/>
        </w:rPr>
        <w:t>21-10/11</w:t>
      </w:r>
    </w:p>
    <w:p w:rsidR="00DA76FB" w:rsidRPr="00E73D7C" w:rsidRDefault="00DA76FB"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BodyTextIndent"/>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A66742" w:rsidRPr="00A66742">
        <w:rPr>
          <w:rFonts w:ascii="GHEA Grapalat" w:hAnsi="GHEA Grapalat"/>
          <w:color w:val="FF0000"/>
        </w:rPr>
        <w:t xml:space="preserve">consulting services for the preparation of design and estimate documentation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BodyTextIndent"/>
        <w:spacing w:line="240" w:lineRule="auto"/>
        <w:ind w:firstLine="708"/>
        <w:rPr>
          <w:rFonts w:ascii="GHEA Grapalat" w:hAnsi="GHEA Grapalat"/>
          <w:i w:val="0"/>
          <w:lang w:val="af-ZA"/>
        </w:rPr>
      </w:pPr>
    </w:p>
    <w:p w:rsidR="0009597A" w:rsidRPr="00E73D7C" w:rsidRDefault="0009597A" w:rsidP="00884277">
      <w:pPr>
        <w:pStyle w:val="BodyTextIndent"/>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A66742" w:rsidRDefault="0009597A" w:rsidP="00815D7C">
      <w:pPr>
        <w:pStyle w:val="BodyTextIndent"/>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the </w:t>
      </w:r>
      <w:r w:rsidRPr="00A66742">
        <w:rPr>
          <w:rFonts w:ascii="GHEA Grapalat" w:hAnsi="GHEA Grapalat"/>
          <w:i w:val="0"/>
        </w:rPr>
        <w:t>prequalification procedure.</w:t>
      </w:r>
    </w:p>
    <w:p w:rsidR="00E469C1" w:rsidRPr="00A66742" w:rsidRDefault="0037225B" w:rsidP="00671E25">
      <w:pPr>
        <w:pStyle w:val="BodyTextIndent"/>
        <w:tabs>
          <w:tab w:val="left" w:pos="567"/>
        </w:tabs>
        <w:spacing w:line="240" w:lineRule="auto"/>
        <w:ind w:firstLine="0"/>
        <w:rPr>
          <w:rFonts w:ascii="GHEA Grapalat" w:hAnsi="GHEA Grapalat"/>
          <w:i w:val="0"/>
        </w:rPr>
      </w:pPr>
      <w:r w:rsidRPr="00A66742">
        <w:rPr>
          <w:rFonts w:ascii="GHEA Grapalat" w:hAnsi="GHEA Grapalat"/>
          <w:i w:val="0"/>
        </w:rPr>
        <w:t>3.</w:t>
      </w:r>
      <w:r w:rsidRPr="00A66742">
        <w:rPr>
          <w:rFonts w:ascii="GHEA Grapalat" w:hAnsi="GHEA Grapalat"/>
          <w:i w:val="0"/>
        </w:rPr>
        <w:tab/>
      </w:r>
      <w:r w:rsidR="00E469C1" w:rsidRPr="00A66742">
        <w:rPr>
          <w:rFonts w:ascii="GHEA Grapalat" w:hAnsi="GHEA Grapalat"/>
          <w:i w:val="0"/>
        </w:rPr>
        <w:t>A participant wishing to participate in the pre-qualification procedure must</w:t>
      </w:r>
    </w:p>
    <w:p w:rsidR="00A66742" w:rsidRPr="00A66742" w:rsidRDefault="00E469C1" w:rsidP="00A66742">
      <w:pPr>
        <w:jc w:val="both"/>
        <w:rPr>
          <w:rFonts w:ascii="GHEA Grapalat" w:hAnsi="GHEA Grapalat"/>
          <w:sz w:val="20"/>
          <w:szCs w:val="20"/>
        </w:rPr>
      </w:pPr>
      <w:r w:rsidRPr="00A66742">
        <w:rPr>
          <w:rFonts w:ascii="GHEA Grapalat" w:hAnsi="GHEA Grapalat"/>
          <w:sz w:val="20"/>
          <w:szCs w:val="20"/>
          <w:lang w:val="en-US"/>
        </w:rPr>
        <w:t>1</w:t>
      </w:r>
      <w:r w:rsidR="00884277" w:rsidRPr="00A66742">
        <w:rPr>
          <w:rFonts w:ascii="GHEA Grapalat" w:hAnsi="GHEA Grapalat"/>
          <w:sz w:val="20"/>
          <w:szCs w:val="20"/>
          <w:lang w:val="en-US"/>
        </w:rPr>
        <w:t xml:space="preserve">) </w:t>
      </w:r>
      <w:proofErr w:type="gramStart"/>
      <w:r w:rsidR="0009597A" w:rsidRPr="00A66742">
        <w:rPr>
          <w:rFonts w:ascii="GHEA Grapalat" w:hAnsi="GHEA Grapalat"/>
          <w:sz w:val="20"/>
          <w:szCs w:val="20"/>
        </w:rPr>
        <w:t>meet</w:t>
      </w:r>
      <w:proofErr w:type="gramEnd"/>
      <w:r w:rsidR="0009597A" w:rsidRPr="00A66742">
        <w:rPr>
          <w:rFonts w:ascii="GHEA Grapalat" w:hAnsi="GHEA Grapalat"/>
          <w:sz w:val="20"/>
          <w:szCs w:val="20"/>
        </w:rPr>
        <w:t xml:space="preserve"> the qualification criteri</w:t>
      </w:r>
      <w:r w:rsidR="004A1DA5" w:rsidRPr="00A66742">
        <w:rPr>
          <w:rFonts w:ascii="GHEA Grapalat" w:hAnsi="GHEA Grapalat"/>
          <w:sz w:val="20"/>
          <w:szCs w:val="20"/>
        </w:rPr>
        <w:t xml:space="preserve">on </w:t>
      </w:r>
      <w:r w:rsidR="0009597A" w:rsidRPr="00A66742">
        <w:rPr>
          <w:rFonts w:ascii="GHEA Grapalat" w:hAnsi="GHEA Grapalat"/>
          <w:sz w:val="20"/>
          <w:szCs w:val="20"/>
        </w:rPr>
        <w:t xml:space="preserve">"Compliance of professional activities with activities provided for by the contract", stipulated by point 1 of part 3 of Article 6 of the Law </w:t>
      </w:r>
      <w:r w:rsidR="00393FBD" w:rsidRPr="00A66742">
        <w:rPr>
          <w:rFonts w:ascii="GHEA Grapalat" w:hAnsi="GHEA Grapalat"/>
          <w:sz w:val="20"/>
          <w:szCs w:val="20"/>
        </w:rPr>
        <w:t xml:space="preserve">of the Republic of Armenia </w:t>
      </w:r>
      <w:r w:rsidR="0009597A" w:rsidRPr="00A66742">
        <w:rPr>
          <w:rFonts w:ascii="GHEA Grapalat" w:hAnsi="GHEA Grapalat"/>
          <w:sz w:val="20"/>
          <w:szCs w:val="20"/>
        </w:rPr>
        <w:t xml:space="preserve">"On procurement". </w:t>
      </w:r>
      <w:r w:rsidR="00A66742" w:rsidRPr="00A66742">
        <w:rPr>
          <w:rFonts w:ascii="GHEA Grapalat" w:hAnsi="GHEA Grapalat"/>
          <w:sz w:val="20"/>
          <w:szCs w:val="20"/>
        </w:rPr>
        <w:t>While similar are considered to be a license to the work on the development of engineering Department of town-planning documentation in the field of urban development (excluding design parts, as well as work not requiring a building permit):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internal</w:t>
      </w:r>
      <w:proofErr w:type="gramEnd"/>
      <w:r w:rsidRPr="00A66742">
        <w:rPr>
          <w:rFonts w:ascii="GHEA Grapalat" w:hAnsi="GHEA Grapalat"/>
          <w:sz w:val="20"/>
          <w:szCs w:val="20"/>
        </w:rPr>
        <w:t xml:space="preserve"> and external network electricity design documentation of residential, public, industrial buildings and constructions, electricity, </w:t>
      </w:r>
      <w:proofErr w:type="spellStart"/>
      <w:r w:rsidRPr="00A66742">
        <w:rPr>
          <w:rFonts w:ascii="GHEA Grapalat" w:hAnsi="GHEA Grapalat"/>
          <w:sz w:val="20"/>
          <w:szCs w:val="20"/>
        </w:rPr>
        <w:t>elektrolesovskaya</w:t>
      </w:r>
      <w:proofErr w:type="spellEnd"/>
      <w:r w:rsidRPr="00A66742">
        <w:rPr>
          <w:rFonts w:ascii="GHEA Grapalat" w:hAnsi="GHEA Grapalat"/>
          <w:sz w:val="20"/>
          <w:szCs w:val="20"/>
        </w:rPr>
        <w: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project</w:t>
      </w:r>
      <w:proofErr w:type="gramEnd"/>
      <w:r w:rsidRPr="00A66742">
        <w:rPr>
          <w:rFonts w:ascii="GHEA Grapalat" w:hAnsi="GHEA Grapalat"/>
          <w:sz w:val="20"/>
          <w:szCs w:val="20"/>
        </w:rPr>
        <w:t xml:space="preserve"> documentation of objects of transport-road transport (automotive roads, railway lines and airports)»</w:t>
      </w:r>
    </w:p>
    <w:p w:rsidR="00A66742" w:rsidRDefault="00A66742" w:rsidP="00A66742">
      <w:pPr>
        <w:jc w:val="both"/>
        <w:rPr>
          <w:rFonts w:ascii="GHEA Grapalat" w:hAnsi="GHEA Grapalat"/>
          <w:sz w:val="20"/>
          <w:szCs w:val="20"/>
        </w:rPr>
      </w:pPr>
      <w:proofErr w:type="gramStart"/>
      <w:r w:rsidRPr="00A66742">
        <w:rPr>
          <w:rFonts w:ascii="GHEA Grapalat" w:hAnsi="GHEA Grapalat"/>
          <w:sz w:val="20"/>
          <w:szCs w:val="20"/>
        </w:rPr>
        <w:t>contracts</w:t>
      </w:r>
      <w:proofErr w:type="gramEnd"/>
      <w:r w:rsidRPr="00A66742">
        <w:rPr>
          <w:rFonts w:ascii="GHEA Grapalat" w:hAnsi="GHEA Grapalat"/>
          <w:sz w:val="20"/>
          <w:szCs w:val="20"/>
        </w:rPr>
        <w:t xml:space="preserve"> for project work performed within the framework of the inserts</w:t>
      </w:r>
    </w:p>
    <w:p w:rsidR="0009597A" w:rsidRPr="00E73D7C" w:rsidRDefault="00E469C1" w:rsidP="00A66742">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BodyTextIndent"/>
        <w:spacing w:line="240" w:lineRule="auto"/>
        <w:ind w:firstLine="0"/>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001C42DF" w:rsidRPr="00E73D7C">
        <w:rPr>
          <w:rFonts w:ascii="GHEA Grapalat" w:hAnsi="GHEA Grapalat"/>
          <w:sz w:val="20"/>
          <w:szCs w:val="20"/>
        </w:rPr>
        <w:lastRenderedPageBreak/>
        <w:t>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724D97">
        <w:rPr>
          <w:rFonts w:ascii="GHEA Grapalat" w:hAnsi="GHEA Grapalat"/>
          <w:b/>
          <w:color w:val="FF0000"/>
          <w:sz w:val="20"/>
          <w:szCs w:val="20"/>
        </w:rPr>
        <w:t>08</w:t>
      </w:r>
      <w:r w:rsidR="00115D7C">
        <w:rPr>
          <w:rFonts w:ascii="GHEA Grapalat" w:hAnsi="GHEA Grapalat"/>
          <w:b/>
          <w:color w:val="FF0000"/>
          <w:sz w:val="20"/>
          <w:szCs w:val="20"/>
        </w:rPr>
        <w:t>.0</w:t>
      </w:r>
      <w:r w:rsidR="00724D97">
        <w:rPr>
          <w:rFonts w:ascii="GHEA Grapalat" w:hAnsi="GHEA Grapalat"/>
          <w:b/>
          <w:color w:val="FF0000"/>
          <w:sz w:val="20"/>
          <w:szCs w:val="20"/>
        </w:rPr>
        <w:t>9</w:t>
      </w:r>
      <w:r w:rsidR="00115D7C">
        <w:rPr>
          <w:rFonts w:ascii="GHEA Grapalat" w:hAnsi="GHEA Grapalat"/>
          <w:b/>
          <w:color w:val="FF0000"/>
          <w:sz w:val="20"/>
          <w:szCs w:val="20"/>
        </w:rPr>
        <w:t>.2021</w:t>
      </w:r>
      <w:r w:rsidR="00E15F0D" w:rsidRPr="00E73D7C">
        <w:rPr>
          <w:rFonts w:ascii="GHEA Grapalat" w:hAnsi="GHEA Grapalat"/>
          <w:b/>
          <w:color w:val="FF0000"/>
          <w:sz w:val="20"/>
          <w:szCs w:val="20"/>
        </w:rPr>
        <w:t xml:space="preserve"> at </w:t>
      </w:r>
      <w:r w:rsidR="00115D7C">
        <w:rPr>
          <w:rFonts w:ascii="GHEA Grapalat" w:hAnsi="GHEA Grapalat"/>
          <w:b/>
          <w:color w:val="FF0000"/>
          <w:sz w:val="20"/>
          <w:szCs w:val="20"/>
        </w:rPr>
        <w:t>11:</w:t>
      </w:r>
      <w:r w:rsidR="00957284">
        <w:rPr>
          <w:rFonts w:ascii="GHEA Grapalat" w:hAnsi="GHEA Grapalat"/>
          <w:b/>
          <w:color w:val="FF0000"/>
          <w:sz w:val="20"/>
          <w:szCs w:val="20"/>
        </w:rPr>
        <w:t>3</w:t>
      </w:r>
      <w:r w:rsidR="00115D7C">
        <w:rPr>
          <w:rFonts w:ascii="GHEA Grapalat" w:hAnsi="GHEA Grapalat"/>
          <w:b/>
          <w:color w:val="FF0000"/>
          <w:sz w:val="20"/>
          <w:szCs w:val="20"/>
        </w:rPr>
        <w:t>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BodyTextIndent2"/>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BodyTextIndent2"/>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BodyTextIndent2"/>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BodyTextIndent2"/>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BodyTextIndent2"/>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BodyTextIndent"/>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115D7C" w:rsidRPr="00724D97">
        <w:rPr>
          <w:rFonts w:ascii="GHEA Grapalat" w:hAnsi="GHEA Grapalat"/>
          <w:b/>
          <w:i/>
          <w:color w:val="FF0000"/>
          <w:sz w:val="20"/>
          <w:szCs w:val="20"/>
        </w:rPr>
        <w:t>11:</w:t>
      </w:r>
      <w:r w:rsidR="00957284" w:rsidRPr="00724D97">
        <w:rPr>
          <w:rFonts w:ascii="GHEA Grapalat" w:hAnsi="GHEA Grapalat"/>
          <w:b/>
          <w:i/>
          <w:color w:val="FF0000"/>
          <w:sz w:val="20"/>
          <w:szCs w:val="20"/>
        </w:rPr>
        <w:t>3</w:t>
      </w:r>
      <w:r w:rsidR="00115D7C" w:rsidRPr="00724D97">
        <w:rPr>
          <w:rFonts w:ascii="GHEA Grapalat" w:hAnsi="GHEA Grapalat"/>
          <w:b/>
          <w:i/>
          <w:color w:val="FF0000"/>
          <w:sz w:val="20"/>
          <w:szCs w:val="20"/>
        </w:rPr>
        <w:t>0</w:t>
      </w:r>
      <w:r w:rsidR="007203CA" w:rsidRPr="00724D97">
        <w:rPr>
          <w:rFonts w:ascii="GHEA Grapalat" w:hAnsi="GHEA Grapalat"/>
          <w:b/>
          <w:i/>
          <w:color w:val="FF0000"/>
          <w:sz w:val="20"/>
          <w:szCs w:val="20"/>
        </w:rPr>
        <w:t xml:space="preserve">pm, </w:t>
      </w:r>
      <w:r w:rsidR="00724D97">
        <w:rPr>
          <w:rFonts w:ascii="GHEA Grapalat" w:hAnsi="GHEA Grapalat"/>
          <w:b/>
          <w:i/>
          <w:color w:val="FF0000"/>
          <w:sz w:val="20"/>
          <w:szCs w:val="20"/>
        </w:rPr>
        <w:t>08</w:t>
      </w:r>
      <w:r w:rsidR="00115D7C" w:rsidRPr="00724D97">
        <w:rPr>
          <w:rFonts w:ascii="GHEA Grapalat" w:hAnsi="GHEA Grapalat"/>
          <w:b/>
          <w:i/>
          <w:color w:val="FF0000"/>
          <w:sz w:val="20"/>
          <w:szCs w:val="20"/>
        </w:rPr>
        <w:t>.0</w:t>
      </w:r>
      <w:r w:rsidR="00724D97">
        <w:rPr>
          <w:rFonts w:ascii="GHEA Grapalat" w:hAnsi="GHEA Grapalat"/>
          <w:b/>
          <w:i/>
          <w:color w:val="FF0000"/>
          <w:sz w:val="20"/>
          <w:szCs w:val="20"/>
        </w:rPr>
        <w:t>9</w:t>
      </w:r>
      <w:r w:rsidR="00115D7C" w:rsidRPr="00724D97">
        <w:rPr>
          <w:rFonts w:ascii="GHEA Grapalat" w:hAnsi="GHEA Grapalat"/>
          <w:b/>
          <w:i/>
          <w:color w:val="FF0000"/>
          <w:sz w:val="20"/>
          <w:szCs w:val="20"/>
        </w:rPr>
        <w:t>.2021</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lastRenderedPageBreak/>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BodyTextIndent"/>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9707EB" w:rsidRPr="009707EB" w:rsidRDefault="009707EB" w:rsidP="009707EB">
      <w:pPr>
        <w:pStyle w:val="BodyTextIndent"/>
        <w:spacing w:line="240" w:lineRule="auto"/>
        <w:ind w:firstLine="0"/>
        <w:rPr>
          <w:rFonts w:ascii="GHEA Grapalat" w:hAnsi="GHEA Grapalat"/>
          <w:i w:val="0"/>
        </w:rPr>
      </w:pPr>
      <w:r w:rsidRPr="009707EB">
        <w:rPr>
          <w:rFonts w:ascii="GHEA Grapalat" w:hAnsi="GHEA Grapalat"/>
          <w:i w:val="0"/>
        </w:rPr>
        <w:t xml:space="preserve">For receiving additional information concerning this notice, you may apply to First Grade Specialist </w:t>
      </w:r>
      <w:proofErr w:type="spellStart"/>
      <w:r w:rsidRPr="00130107">
        <w:rPr>
          <w:rFonts w:ascii="GHEA Grapalat" w:hAnsi="GHEA Grapalat"/>
        </w:rPr>
        <w:t>M.Hokheyan</w:t>
      </w:r>
      <w:proofErr w:type="spellEnd"/>
      <w:r w:rsidRPr="00130107">
        <w:rPr>
          <w:rFonts w:ascii="GHEA Grapalat" w:hAnsi="GHEA Grapalat"/>
        </w:rPr>
        <w:t>,</w:t>
      </w:r>
      <w:r w:rsidRPr="009707EB">
        <w:rPr>
          <w:rFonts w:ascii="GHEA Grapalat" w:hAnsi="GHEA Grapalat"/>
          <w:i w:val="0"/>
        </w:rPr>
        <w:t xml:space="preserve"> Secretary of the Commission.</w:t>
      </w:r>
    </w:p>
    <w:p w:rsidR="00D31C4B" w:rsidRPr="00E73D7C" w:rsidRDefault="00D31C4B" w:rsidP="001E4BD1">
      <w:pPr>
        <w:pStyle w:val="BodyTextIndent"/>
        <w:spacing w:line="240" w:lineRule="auto"/>
        <w:ind w:firstLine="0"/>
        <w:rPr>
          <w:rFonts w:ascii="GHEA Grapalat" w:hAnsi="GHEA Grapalat"/>
          <w:i w:val="0"/>
          <w:lang w:val="hy-AM"/>
        </w:rPr>
      </w:pPr>
    </w:p>
    <w:p w:rsidR="005A55DA" w:rsidRPr="00E73D7C" w:rsidRDefault="005A55DA" w:rsidP="00815D7C">
      <w:pPr>
        <w:pStyle w:val="BodyTextIndent"/>
        <w:spacing w:line="240" w:lineRule="auto"/>
        <w:ind w:left="3402" w:firstLine="0"/>
        <w:rPr>
          <w:rFonts w:ascii="GHEA Grapalat" w:hAnsi="GHEA Grapalat"/>
          <w:i w:val="0"/>
        </w:rPr>
      </w:pPr>
    </w:p>
    <w:p w:rsidR="009707EB" w:rsidRPr="009707EB" w:rsidRDefault="009707EB" w:rsidP="009707EB">
      <w:pPr>
        <w:pStyle w:val="BodyTextIndent"/>
        <w:spacing w:after="160"/>
        <w:ind w:firstLine="0"/>
        <w:rPr>
          <w:rFonts w:ascii="GHEA Grapalat" w:hAnsi="GHEA Grapalat"/>
          <w:color w:val="00B0F0"/>
          <w:sz w:val="22"/>
        </w:rPr>
      </w:pPr>
      <w:r w:rsidRPr="009707EB">
        <w:rPr>
          <w:rFonts w:ascii="GHEA Grapalat" w:hAnsi="GHEA Grapalat"/>
          <w:i w:val="0"/>
          <w:sz w:val="22"/>
        </w:rPr>
        <w:t xml:space="preserve">Telephone </w:t>
      </w:r>
      <w:r w:rsidRPr="009707EB">
        <w:rPr>
          <w:rFonts w:ascii="GHEA Grapalat" w:hAnsi="GHEA Grapalat"/>
          <w:color w:val="00B0F0"/>
          <w:sz w:val="22"/>
        </w:rPr>
        <w:t>Phone: 010-66-24-94</w:t>
      </w:r>
    </w:p>
    <w:p w:rsidR="009707EB" w:rsidRPr="009707EB" w:rsidRDefault="009707EB" w:rsidP="009707EB">
      <w:pPr>
        <w:pStyle w:val="BodyTextIndent"/>
        <w:spacing w:after="160"/>
        <w:ind w:firstLine="0"/>
        <w:rPr>
          <w:rFonts w:ascii="GHEA Grapalat" w:hAnsi="GHEA Grapalat"/>
          <w:i w:val="0"/>
          <w:sz w:val="22"/>
          <w:u w:val="single"/>
        </w:rPr>
      </w:pPr>
      <w:r w:rsidRPr="009707EB">
        <w:rPr>
          <w:rFonts w:ascii="GHEA Grapalat" w:hAnsi="GHEA Grapalat"/>
          <w:i w:val="0"/>
          <w:sz w:val="22"/>
        </w:rPr>
        <w:t xml:space="preserve">E-mail </w:t>
      </w:r>
      <w:r w:rsidRPr="009707EB">
        <w:rPr>
          <w:rFonts w:ascii="GHEA Grapalat" w:hAnsi="GHEA Grapalat"/>
          <w:color w:val="00B0F0"/>
          <w:sz w:val="22"/>
        </w:rPr>
        <w:t>m.hokheyan@mil.am.</w:t>
      </w:r>
    </w:p>
    <w:p w:rsidR="009707EB" w:rsidRPr="009707EB" w:rsidRDefault="009707EB" w:rsidP="009707EB">
      <w:pPr>
        <w:ind w:left="-709" w:right="-2" w:firstLine="567"/>
        <w:jc w:val="both"/>
        <w:rPr>
          <w:rFonts w:ascii="GHEA Grapalat" w:hAnsi="GHEA Grapalat"/>
          <w:color w:val="FF0000"/>
          <w:sz w:val="18"/>
          <w:szCs w:val="20"/>
        </w:rPr>
      </w:pPr>
      <w:r w:rsidRPr="009707EB">
        <w:rPr>
          <w:rFonts w:ascii="GHEA Grapalat" w:hAnsi="GHEA Grapalat"/>
          <w:sz w:val="22"/>
        </w:rPr>
        <w:t xml:space="preserve">Contracting </w:t>
      </w:r>
      <w:proofErr w:type="gramStart"/>
      <w:r w:rsidRPr="009707EB">
        <w:rPr>
          <w:rFonts w:ascii="GHEA Grapalat" w:hAnsi="GHEA Grapalat"/>
          <w:sz w:val="22"/>
        </w:rPr>
        <w:t xml:space="preserve">authority </w:t>
      </w:r>
      <w:r w:rsidRPr="009707EB">
        <w:rPr>
          <w:rFonts w:ascii="GHEA Grapalat" w:hAnsi="GHEA Grapalat"/>
          <w:color w:val="FF0000"/>
          <w:sz w:val="18"/>
          <w:szCs w:val="20"/>
        </w:rPr>
        <w:t xml:space="preserve"> </w:t>
      </w:r>
      <w:r w:rsidRPr="009707EB">
        <w:rPr>
          <w:rFonts w:ascii="GHEA Grapalat" w:hAnsi="GHEA Grapalat"/>
          <w:i/>
          <w:color w:val="00B0F0"/>
          <w:sz w:val="22"/>
          <w:szCs w:val="20"/>
        </w:rPr>
        <w:t>Ministry</w:t>
      </w:r>
      <w:proofErr w:type="gramEnd"/>
      <w:r w:rsidRPr="009707EB">
        <w:rPr>
          <w:rFonts w:ascii="GHEA Grapalat" w:hAnsi="GHEA Grapalat"/>
          <w:i/>
          <w:color w:val="00B0F0"/>
          <w:sz w:val="22"/>
          <w:szCs w:val="20"/>
        </w:rPr>
        <w:t xml:space="preserve"> of </w:t>
      </w:r>
      <w:proofErr w:type="spellStart"/>
      <w:r w:rsidRPr="009707EB">
        <w:rPr>
          <w:rFonts w:ascii="GHEA Grapalat" w:hAnsi="GHEA Grapalat"/>
          <w:i/>
          <w:color w:val="00B0F0"/>
          <w:sz w:val="22"/>
          <w:szCs w:val="20"/>
        </w:rPr>
        <w:t>Defense</w:t>
      </w:r>
      <w:proofErr w:type="spellEnd"/>
      <w:r w:rsidRPr="009707EB">
        <w:rPr>
          <w:rFonts w:ascii="GHEA Grapalat" w:hAnsi="GHEA Grapalat"/>
          <w:i/>
          <w:color w:val="00B0F0"/>
          <w:sz w:val="22"/>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1</w:t>
      </w:r>
    </w:p>
    <w:p w:rsidR="00902B9D" w:rsidRPr="00E73D7C" w:rsidRDefault="0009597A" w:rsidP="00815D7C">
      <w:pPr>
        <w:pStyle w:val="BodyTextIndent3"/>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BodyTextIndent3"/>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8857DA">
        <w:rPr>
          <w:rFonts w:ascii="GHEA Grapalat" w:hAnsi="GHEA Grapalat"/>
          <w:color w:val="FF0000"/>
        </w:rPr>
        <w:t>21-10/11</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Heading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0E1459">
        <w:rPr>
          <w:rFonts w:ascii="GHEA Grapalat" w:hAnsi="GHEA Grapalat"/>
          <w:color w:val="FF0000"/>
          <w:sz w:val="20"/>
          <w:szCs w:val="20"/>
        </w:rPr>
        <w:t>PNMKHTSDZB-</w:t>
      </w:r>
      <w:r w:rsidR="008857DA">
        <w:rPr>
          <w:rFonts w:ascii="GHEA Grapalat" w:hAnsi="GHEA Grapalat"/>
          <w:color w:val="FF0000"/>
          <w:sz w:val="20"/>
          <w:szCs w:val="20"/>
        </w:rPr>
        <w:t>21-10/11</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FootnoteText"/>
        <w:rPr>
          <w:rFonts w:ascii="GHEA Grapalat" w:hAnsi="GHEA Grapalat" w:cs="Sylfaen"/>
          <w:i/>
        </w:rPr>
      </w:pPr>
      <w:r w:rsidRPr="00E73D7C">
        <w:rPr>
          <w:rFonts w:ascii="GHEA Grapalat" w:hAnsi="GHEA Grapalat"/>
        </w:rPr>
        <w:br w:type="page"/>
      </w:r>
    </w:p>
    <w:p w:rsidR="00F067FF" w:rsidRDefault="00F067FF"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bookmarkStart w:id="0" w:name="_GoBack"/>
      <w:bookmarkEnd w:id="0"/>
      <w:r w:rsidRPr="00E73D7C">
        <w:rPr>
          <w:rFonts w:ascii="GHEA Grapalat" w:hAnsi="GHEA Grapalat"/>
          <w:sz w:val="20"/>
        </w:rPr>
        <w:t>Annex 2</w:t>
      </w:r>
    </w:p>
    <w:p w:rsidR="0009597A" w:rsidRPr="00E73D7C" w:rsidRDefault="0009597A" w:rsidP="00815D7C">
      <w:pPr>
        <w:pStyle w:val="BodyTextIndent3"/>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BodyTextIndent3"/>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8857DA">
        <w:rPr>
          <w:rFonts w:ascii="GHEA Grapalat" w:hAnsi="GHEA Grapalat"/>
          <w:color w:val="FF0000"/>
        </w:rPr>
        <w:t>21-10/11</w:t>
      </w:r>
    </w:p>
    <w:p w:rsidR="00934167" w:rsidRPr="00E73D7C" w:rsidRDefault="00934167" w:rsidP="00815D7C">
      <w:pPr>
        <w:pStyle w:val="BodyTextIndent3"/>
        <w:spacing w:line="240" w:lineRule="auto"/>
        <w:jc w:val="right"/>
        <w:rPr>
          <w:rFonts w:ascii="GHEA Grapalat" w:hAnsi="GHEA Grapalat" w:cs="Arial"/>
        </w:rPr>
      </w:pPr>
    </w:p>
    <w:p w:rsidR="00360101" w:rsidRPr="00E73D7C" w:rsidRDefault="00360101" w:rsidP="00815D7C">
      <w:pPr>
        <w:pStyle w:val="BodyTextIndent3"/>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proofErr w:type="spellStart"/>
      <w:r>
        <w:rPr>
          <w:rFonts w:ascii="GHEA Grapalat" w:hAnsi="GHEA Grapalat"/>
          <w:vertAlign w:val="subscript"/>
        </w:rPr>
        <w:t>participant’sname</w:t>
      </w:r>
      <w:proofErr w:type="spellEnd"/>
      <w:r>
        <w:rPr>
          <w:rFonts w:ascii="GHEA Grapalat" w:hAnsi="GHEA Grapalat"/>
          <w:vertAlign w:val="subscript"/>
        </w:rPr>
        <w:t xml:space="preserv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proofErr w:type="gramStart"/>
      <w:r w:rsidRPr="00814882">
        <w:rPr>
          <w:rFonts w:ascii="GHEA Grapalat" w:hAnsi="GHEA Grapalat"/>
          <w:sz w:val="20"/>
        </w:rPr>
        <w:t>announces</w:t>
      </w:r>
      <w:proofErr w:type="gramEnd"/>
      <w:r w:rsidRPr="00814882">
        <w:rPr>
          <w:rFonts w:ascii="GHEA Grapalat" w:hAnsi="GHEA Grapalat"/>
          <w:sz w:val="20"/>
        </w:rPr>
        <w:t xml:space="preserve">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D8" w:rsidRDefault="00EC22D8">
      <w:r>
        <w:separator/>
      </w:r>
    </w:p>
  </w:endnote>
  <w:endnote w:type="continuationSeparator" w:id="0">
    <w:p w:rsidR="00EC22D8" w:rsidRDefault="00E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D8" w:rsidRDefault="00EC22D8">
      <w:r>
        <w:separator/>
      </w:r>
    </w:p>
  </w:footnote>
  <w:footnote w:type="continuationSeparator" w:id="0">
    <w:p w:rsidR="00EC22D8" w:rsidRDefault="00EC2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1459"/>
    <w:rsid w:val="000E2CA8"/>
    <w:rsid w:val="000E3435"/>
    <w:rsid w:val="000E373D"/>
    <w:rsid w:val="000E7832"/>
    <w:rsid w:val="001131AB"/>
    <w:rsid w:val="00115D7C"/>
    <w:rsid w:val="00130107"/>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232A"/>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4D97"/>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857DA"/>
    <w:rsid w:val="00895F7E"/>
    <w:rsid w:val="008C1E8C"/>
    <w:rsid w:val="008C3A9A"/>
    <w:rsid w:val="008D690B"/>
    <w:rsid w:val="008F78ED"/>
    <w:rsid w:val="00902B9D"/>
    <w:rsid w:val="009075C3"/>
    <w:rsid w:val="00913AB3"/>
    <w:rsid w:val="00916F5F"/>
    <w:rsid w:val="00920686"/>
    <w:rsid w:val="00927EA8"/>
    <w:rsid w:val="0093269D"/>
    <w:rsid w:val="00934167"/>
    <w:rsid w:val="00957284"/>
    <w:rsid w:val="00961780"/>
    <w:rsid w:val="009707EB"/>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22D8"/>
    <w:rsid w:val="00EC62FD"/>
    <w:rsid w:val="00ED6EE4"/>
    <w:rsid w:val="00ED778E"/>
    <w:rsid w:val="00EE4A36"/>
    <w:rsid w:val="00EE7B0B"/>
    <w:rsid w:val="00EF4B53"/>
    <w:rsid w:val="00EF65D6"/>
    <w:rsid w:val="00F067FF"/>
    <w:rsid w:val="00F10319"/>
    <w:rsid w:val="00F11AD6"/>
    <w:rsid w:val="00F1364C"/>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8C8D-A36E-4436-9F93-2D5870B0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2448</Words>
  <Characters>13960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148</cp:revision>
  <cp:lastPrinted>2017-05-26T08:33:00Z</cp:lastPrinted>
  <dcterms:created xsi:type="dcterms:W3CDTF">2017-09-25T10:08:00Z</dcterms:created>
  <dcterms:modified xsi:type="dcterms:W3CDTF">2021-08-23T08:05:00Z</dcterms:modified>
</cp:coreProperties>
</file>