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47"/>
        <w:gridCol w:w="9"/>
        <w:gridCol w:w="6281"/>
      </w:tblGrid>
      <w:tr w:rsidR="00B0583A" w:rsidTr="00EA7132">
        <w:tc>
          <w:tcPr>
            <w:tcW w:w="3156" w:type="dxa"/>
            <w:gridSpan w:val="2"/>
          </w:tcPr>
          <w:p w:rsidR="00B0583A" w:rsidRPr="00C85057" w:rsidRDefault="00B0583A" w:rsidP="00C85057">
            <w:pPr>
              <w:pStyle w:val="Gtxt"/>
              <w:rPr>
                <w:b/>
                <w:bCs w:val="0"/>
              </w:rPr>
            </w:pPr>
            <w:bookmarkStart w:id="0" w:name="_GoBack"/>
            <w:bookmarkEnd w:id="0"/>
            <w:r w:rsidRPr="00C85057">
              <w:rPr>
                <w:b/>
                <w:bCs w:val="0"/>
              </w:rPr>
              <w:t>Country</w:t>
            </w:r>
          </w:p>
        </w:tc>
        <w:tc>
          <w:tcPr>
            <w:tcW w:w="6281" w:type="dxa"/>
          </w:tcPr>
          <w:p w:rsidR="00B0583A" w:rsidRDefault="00B0583A" w:rsidP="00EA7132">
            <w:pPr>
              <w:pStyle w:val="Gtxt"/>
            </w:pPr>
            <w:r>
              <w:t xml:space="preserve">Republic of </w:t>
            </w:r>
            <w:r w:rsidR="00EA7132">
              <w:t>Armenia</w:t>
            </w:r>
          </w:p>
          <w:p w:rsidR="00EA7132" w:rsidRDefault="00EA7132" w:rsidP="00EA7132">
            <w:pPr>
              <w:pStyle w:val="Gtxt"/>
            </w:pPr>
          </w:p>
        </w:tc>
      </w:tr>
      <w:tr w:rsidR="00B0583A" w:rsidTr="00EA7132">
        <w:tc>
          <w:tcPr>
            <w:tcW w:w="3156" w:type="dxa"/>
            <w:gridSpan w:val="2"/>
          </w:tcPr>
          <w:p w:rsidR="00B0583A" w:rsidRPr="00C85057" w:rsidRDefault="00B0583A" w:rsidP="00C85057">
            <w:pPr>
              <w:pStyle w:val="Gtxt"/>
              <w:rPr>
                <w:b/>
                <w:bCs w:val="0"/>
              </w:rPr>
            </w:pPr>
            <w:r w:rsidRPr="00C85057">
              <w:rPr>
                <w:b/>
                <w:bCs w:val="0"/>
              </w:rPr>
              <w:t xml:space="preserve">Name and Address of the </w:t>
            </w:r>
            <w:r w:rsidR="00C85057" w:rsidRPr="00C85057">
              <w:rPr>
                <w:b/>
                <w:bCs w:val="0"/>
              </w:rPr>
              <w:t>PEA</w:t>
            </w:r>
          </w:p>
        </w:tc>
        <w:tc>
          <w:tcPr>
            <w:tcW w:w="6281" w:type="dxa"/>
          </w:tcPr>
          <w:p w:rsidR="00EA7132" w:rsidRPr="008B538E" w:rsidRDefault="00EA7132" w:rsidP="00EA7132">
            <w:pPr>
              <w:pStyle w:val="Gtxt"/>
              <w:rPr>
                <w:b/>
                <w:bCs w:val="0"/>
              </w:rPr>
            </w:pPr>
            <w:r w:rsidRPr="008B538E">
              <w:rPr>
                <w:b/>
                <w:bCs w:val="0"/>
              </w:rPr>
              <w:t>Armenian Territorial Development Fund – Water Sector Project Implementation Branch (ATDF – WSPIB)</w:t>
            </w:r>
          </w:p>
          <w:p w:rsidR="00EA7132" w:rsidRPr="00EA7132" w:rsidRDefault="00EA7132" w:rsidP="00EA7132">
            <w:pPr>
              <w:pStyle w:val="Gtxt"/>
            </w:pPr>
          </w:p>
          <w:p w:rsidR="00EA7132" w:rsidRPr="00EA7132" w:rsidRDefault="00EA7132" w:rsidP="00EA7132">
            <w:pPr>
              <w:pStyle w:val="Gtxt"/>
            </w:pPr>
            <w:r w:rsidRPr="00EA7132">
              <w:t xml:space="preserve">Address: </w:t>
            </w:r>
            <w:r w:rsidR="00BF60E2">
              <w:t xml:space="preserve">K. Ulnetsi str. 31 </w:t>
            </w:r>
          </w:p>
          <w:p w:rsidR="00EA7132" w:rsidRPr="00EA7132" w:rsidRDefault="00EA7132" w:rsidP="00EA7132">
            <w:pPr>
              <w:pStyle w:val="Gtxt"/>
            </w:pPr>
            <w:r w:rsidRPr="00EA7132">
              <w:t xml:space="preserve">City: Yerevan </w:t>
            </w:r>
          </w:p>
          <w:p w:rsidR="00EA7132" w:rsidRPr="00EA7132" w:rsidRDefault="00BF60E2" w:rsidP="00EA7132">
            <w:pPr>
              <w:pStyle w:val="Gtxt"/>
            </w:pPr>
            <w:r>
              <w:t>ZIP Code: 0037</w:t>
            </w:r>
          </w:p>
          <w:p w:rsidR="00EA7132" w:rsidRPr="00EA7132" w:rsidRDefault="00EA7132" w:rsidP="00EA7132">
            <w:pPr>
              <w:pStyle w:val="Gtxt"/>
            </w:pPr>
            <w:r w:rsidRPr="00EA7132">
              <w:t>Country: Republic of Armenia</w:t>
            </w:r>
          </w:p>
          <w:p w:rsidR="00EA7132" w:rsidRPr="00EA7132" w:rsidRDefault="00EA7132" w:rsidP="00EA7132">
            <w:pPr>
              <w:pStyle w:val="Gtxt"/>
            </w:pPr>
            <w:r w:rsidRPr="00EA7132">
              <w:t>Telephone: (+374)10 52 25 50</w:t>
            </w:r>
          </w:p>
          <w:p w:rsidR="00BF60E2" w:rsidRDefault="00EA7132" w:rsidP="00EA7132">
            <w:pPr>
              <w:pStyle w:val="Gtxt"/>
            </w:pPr>
            <w:r w:rsidRPr="00EA7132">
              <w:t xml:space="preserve">Electronic mail address: </w:t>
            </w:r>
            <w:hyperlink r:id="rId7" w:history="1">
              <w:r w:rsidR="00BF60E2" w:rsidRPr="00602D45">
                <w:rPr>
                  <w:rStyle w:val="Hyperlink"/>
                </w:rPr>
                <w:t>hzalinyan@wsdp.am</w:t>
              </w:r>
            </w:hyperlink>
            <w:r w:rsidR="00BF60E2">
              <w:t xml:space="preserve"> </w:t>
            </w:r>
          </w:p>
          <w:p w:rsidR="00EA7132" w:rsidRPr="00EA7132" w:rsidRDefault="00EA7132" w:rsidP="00EA7132">
            <w:pPr>
              <w:pStyle w:val="Gtxt"/>
              <w:rPr>
                <w:rFonts w:asciiTheme="minorHAnsi" w:eastAsiaTheme="minorHAnsi" w:hAnsiTheme="minorHAnsi" w:cstheme="minorBidi"/>
                <w:spacing w:val="-2"/>
                <w:szCs w:val="22"/>
              </w:rPr>
            </w:pPr>
          </w:p>
        </w:tc>
      </w:tr>
      <w:tr w:rsidR="00B0583A" w:rsidTr="00EA7132">
        <w:tc>
          <w:tcPr>
            <w:tcW w:w="3156" w:type="dxa"/>
            <w:gridSpan w:val="2"/>
          </w:tcPr>
          <w:p w:rsidR="00B0583A" w:rsidRPr="00C85057" w:rsidRDefault="00B0583A" w:rsidP="00EA7132">
            <w:pPr>
              <w:pStyle w:val="Gtxt"/>
              <w:rPr>
                <w:b/>
                <w:bCs w:val="0"/>
              </w:rPr>
            </w:pPr>
            <w:r w:rsidRPr="00C85057">
              <w:rPr>
                <w:b/>
                <w:bCs w:val="0"/>
              </w:rPr>
              <w:t>Submission details</w:t>
            </w:r>
          </w:p>
        </w:tc>
        <w:tc>
          <w:tcPr>
            <w:tcW w:w="6281" w:type="dxa"/>
          </w:tcPr>
          <w:p w:rsidR="00C85057" w:rsidRPr="006478D9" w:rsidRDefault="00C85057" w:rsidP="00C85057">
            <w:pPr>
              <w:pStyle w:val="Gtxt"/>
            </w:pPr>
            <w:r w:rsidRPr="006478D9">
              <w:t xml:space="preserve">The </w:t>
            </w:r>
            <w:r w:rsidRPr="006D7D62">
              <w:rPr>
                <w:b/>
              </w:rPr>
              <w:t>Application</w:t>
            </w:r>
            <w:r w:rsidRPr="006478D9">
              <w:t xml:space="preserve"> as well as all </w:t>
            </w:r>
            <w:r w:rsidRPr="006D7D62">
              <w:rPr>
                <w:b/>
              </w:rPr>
              <w:t>correspondence</w:t>
            </w:r>
            <w:r w:rsidRPr="006478D9">
              <w:t xml:space="preserve"> shall be submitted in </w:t>
            </w:r>
            <w:r w:rsidRPr="00C85057">
              <w:rPr>
                <w:b/>
                <w:bCs w:val="0"/>
              </w:rPr>
              <w:t>English.</w:t>
            </w:r>
            <w:r w:rsidRPr="006478D9">
              <w:t xml:space="preserve"> </w:t>
            </w:r>
          </w:p>
          <w:p w:rsidR="00EA7132" w:rsidRDefault="00EA7132" w:rsidP="00C85057">
            <w:pPr>
              <w:pStyle w:val="Gtxt"/>
            </w:pPr>
            <w:r>
              <w:t>The Applicants shall submit the Application as follows:</w:t>
            </w:r>
          </w:p>
          <w:p w:rsidR="00EA7132" w:rsidRDefault="00EA7132" w:rsidP="00EA7132">
            <w:pPr>
              <w:pStyle w:val="Gtxt"/>
              <w:numPr>
                <w:ilvl w:val="0"/>
                <w:numId w:val="3"/>
              </w:numPr>
            </w:pPr>
            <w:r w:rsidRPr="006D7D62">
              <w:rPr>
                <w:b/>
              </w:rPr>
              <w:t xml:space="preserve">01 (one) </w:t>
            </w:r>
            <w:r w:rsidRPr="006D7D62">
              <w:rPr>
                <w:b/>
                <w:iCs/>
              </w:rPr>
              <w:t>original</w:t>
            </w:r>
            <w:r w:rsidRPr="002B0A47">
              <w:t xml:space="preserve"> and </w:t>
            </w:r>
            <w:r w:rsidRPr="006D7D62">
              <w:rPr>
                <w:b/>
              </w:rPr>
              <w:t xml:space="preserve">01 (one) </w:t>
            </w:r>
            <w:r>
              <w:rPr>
                <w:b/>
              </w:rPr>
              <w:t xml:space="preserve">hard </w:t>
            </w:r>
            <w:r w:rsidRPr="006D7D62">
              <w:rPr>
                <w:b/>
              </w:rPr>
              <w:t>copy</w:t>
            </w:r>
            <w:r w:rsidRPr="002B0A47">
              <w:t>.</w:t>
            </w:r>
          </w:p>
          <w:p w:rsidR="00EA7132" w:rsidRPr="002B0A47" w:rsidRDefault="00EA7132" w:rsidP="00EA7132">
            <w:pPr>
              <w:pStyle w:val="Gtxt"/>
              <w:numPr>
                <w:ilvl w:val="0"/>
                <w:numId w:val="3"/>
              </w:numPr>
            </w:pPr>
            <w:r w:rsidRPr="00A34D4B">
              <w:rPr>
                <w:b/>
              </w:rPr>
              <w:t>01 (one) soft copy</w:t>
            </w:r>
            <w:r>
              <w:t xml:space="preserve"> of the original as unalterable and searchable PDF file on a memory stick.</w:t>
            </w:r>
          </w:p>
          <w:p w:rsidR="00EA7132" w:rsidRPr="002B0A47" w:rsidRDefault="00EA7132" w:rsidP="00EA7132">
            <w:pPr>
              <w:pStyle w:val="Gtxt"/>
              <w:rPr>
                <w:spacing w:val="-4"/>
              </w:rPr>
            </w:pPr>
            <w:r w:rsidRPr="002B0A47">
              <w:rPr>
                <w:spacing w:val="-4"/>
              </w:rPr>
              <w:t>The</w:t>
            </w:r>
            <w:r>
              <w:rPr>
                <w:spacing w:val="-4"/>
              </w:rPr>
              <w:t xml:space="preserve"> Applications</w:t>
            </w:r>
            <w:r w:rsidRPr="002B0A47">
              <w:rPr>
                <w:spacing w:val="-4"/>
              </w:rPr>
              <w:t xml:space="preserve"> shall be submitted not later than:</w:t>
            </w:r>
          </w:p>
          <w:p w:rsidR="00EA7132" w:rsidRPr="00F11E6D" w:rsidRDefault="00EA7132" w:rsidP="00EA7132">
            <w:pPr>
              <w:pStyle w:val="Gtxt"/>
              <w:rPr>
                <w:spacing w:val="-4"/>
              </w:rPr>
            </w:pPr>
            <w:r w:rsidRPr="00724442">
              <w:rPr>
                <w:spacing w:val="-4"/>
              </w:rPr>
              <w:t xml:space="preserve">Date: </w:t>
            </w:r>
            <w:r>
              <w:rPr>
                <w:b/>
                <w:spacing w:val="-4"/>
              </w:rPr>
              <w:t>2</w:t>
            </w:r>
            <w:r w:rsidR="00456661">
              <w:rPr>
                <w:b/>
                <w:spacing w:val="-4"/>
              </w:rPr>
              <w:t>6</w:t>
            </w:r>
            <w:r w:rsidR="00C85057">
              <w:rPr>
                <w:b/>
                <w:spacing w:val="-4"/>
                <w:vertAlign w:val="superscript"/>
              </w:rPr>
              <w:t>rd</w:t>
            </w:r>
            <w:r w:rsidRPr="006D7D62">
              <w:rPr>
                <w:b/>
                <w:spacing w:val="-4"/>
              </w:rPr>
              <w:t xml:space="preserve"> </w:t>
            </w:r>
            <w:r>
              <w:rPr>
                <w:b/>
                <w:spacing w:val="-4"/>
              </w:rPr>
              <w:t>May</w:t>
            </w:r>
            <w:r w:rsidRPr="006D7D62">
              <w:rPr>
                <w:b/>
                <w:spacing w:val="-4"/>
              </w:rPr>
              <w:t xml:space="preserve"> 2023</w:t>
            </w:r>
          </w:p>
          <w:p w:rsidR="00EA7132" w:rsidRDefault="00EA7132" w:rsidP="00EA7132">
            <w:pPr>
              <w:pStyle w:val="Gtxt"/>
              <w:rPr>
                <w:b/>
                <w:spacing w:val="-4"/>
              </w:rPr>
            </w:pPr>
            <w:r w:rsidRPr="006478D9">
              <w:rPr>
                <w:spacing w:val="-4"/>
              </w:rPr>
              <w:t xml:space="preserve">Time: </w:t>
            </w:r>
            <w:r w:rsidRPr="006D7D62">
              <w:rPr>
                <w:b/>
                <w:spacing w:val="-4"/>
              </w:rPr>
              <w:t>12:00 (GMT +4hr)</w:t>
            </w:r>
          </w:p>
          <w:p w:rsidR="00EA7132" w:rsidRPr="00EA7132" w:rsidRDefault="00EA7132" w:rsidP="00EA7132">
            <w:pPr>
              <w:pStyle w:val="Gtxt"/>
              <w:rPr>
                <w:bCs w:val="0"/>
                <w:spacing w:val="-4"/>
              </w:rPr>
            </w:pPr>
            <w:r w:rsidRPr="00EA7132">
              <w:rPr>
                <w:bCs w:val="0"/>
                <w:spacing w:val="-4"/>
              </w:rPr>
              <w:t>Address: as above</w:t>
            </w:r>
          </w:p>
          <w:p w:rsidR="00B0583A" w:rsidRDefault="00B0583A" w:rsidP="000F3974">
            <w:pPr>
              <w:spacing w:line="229" w:lineRule="exact"/>
              <w:ind w:left="100" w:right="-20"/>
              <w:jc w:val="both"/>
              <w:rPr>
                <w:rFonts w:ascii="Arial" w:eastAsia="Arial" w:hAnsi="Arial" w:cs="Arial"/>
                <w:sz w:val="20"/>
                <w:szCs w:val="20"/>
              </w:rPr>
            </w:pPr>
          </w:p>
        </w:tc>
      </w:tr>
      <w:tr w:rsidR="00B0583A" w:rsidTr="00EA7132">
        <w:trPr>
          <w:trHeight w:val="266"/>
        </w:trPr>
        <w:tc>
          <w:tcPr>
            <w:tcW w:w="3156" w:type="dxa"/>
            <w:gridSpan w:val="2"/>
          </w:tcPr>
          <w:p w:rsidR="00B0583A" w:rsidRPr="00C85057" w:rsidRDefault="00B0583A" w:rsidP="00EA7132">
            <w:pPr>
              <w:pStyle w:val="Gtxt"/>
              <w:rPr>
                <w:b/>
                <w:bCs w:val="0"/>
              </w:rPr>
            </w:pPr>
            <w:r w:rsidRPr="00C85057">
              <w:rPr>
                <w:b/>
                <w:bCs w:val="0"/>
              </w:rPr>
              <w:t>Project Title</w:t>
            </w:r>
          </w:p>
        </w:tc>
        <w:tc>
          <w:tcPr>
            <w:tcW w:w="6281" w:type="dxa"/>
          </w:tcPr>
          <w:p w:rsidR="008B538E" w:rsidRDefault="00C85057" w:rsidP="00C85057">
            <w:pPr>
              <w:pStyle w:val="Gtxt"/>
              <w:rPr>
                <w:spacing w:val="-4"/>
              </w:rPr>
            </w:pPr>
            <w:r w:rsidRPr="00C85057">
              <w:rPr>
                <w:spacing w:val="-4"/>
              </w:rPr>
              <w:t>Communal Infrastructure Program (CIP) II, Phase 3 – Armenia, Water and Sanitation</w:t>
            </w:r>
            <w:r w:rsidR="008B538E">
              <w:rPr>
                <w:spacing w:val="-4"/>
              </w:rPr>
              <w:t xml:space="preserve"> </w:t>
            </w:r>
          </w:p>
          <w:p w:rsidR="00C85057" w:rsidRPr="00C85057" w:rsidRDefault="008B538E" w:rsidP="00C85057">
            <w:pPr>
              <w:pStyle w:val="Gtxt"/>
              <w:rPr>
                <w:spacing w:val="-4"/>
              </w:rPr>
            </w:pPr>
            <w:r w:rsidRPr="008B538E">
              <w:rPr>
                <w:bCs w:val="0"/>
                <w:spacing w:val="-2"/>
              </w:rPr>
              <w:t>Lot-4: Water Supply network and sewer system of 560 villages</w:t>
            </w:r>
          </w:p>
          <w:p w:rsidR="00EA7132" w:rsidRDefault="00EA7132" w:rsidP="00C85057">
            <w:pPr>
              <w:pStyle w:val="Gtxt"/>
              <w:rPr>
                <w:sz w:val="20"/>
              </w:rPr>
            </w:pPr>
          </w:p>
        </w:tc>
      </w:tr>
      <w:tr w:rsidR="00B0583A" w:rsidTr="00EA7132">
        <w:tc>
          <w:tcPr>
            <w:tcW w:w="3156" w:type="dxa"/>
            <w:gridSpan w:val="2"/>
          </w:tcPr>
          <w:p w:rsidR="00B0583A" w:rsidRPr="00C85057" w:rsidRDefault="00B0583A" w:rsidP="00EA7132">
            <w:pPr>
              <w:pStyle w:val="Gtxt"/>
              <w:rPr>
                <w:b/>
                <w:bCs w:val="0"/>
              </w:rPr>
            </w:pPr>
            <w:r w:rsidRPr="00C85057">
              <w:rPr>
                <w:b/>
                <w:bCs w:val="0"/>
              </w:rPr>
              <w:t>Lot Title</w:t>
            </w:r>
          </w:p>
        </w:tc>
        <w:tc>
          <w:tcPr>
            <w:tcW w:w="6281" w:type="dxa"/>
          </w:tcPr>
          <w:p w:rsidR="00B0583A" w:rsidRDefault="00C85057" w:rsidP="00EA7132">
            <w:pPr>
              <w:pStyle w:val="Gtxt"/>
              <w:rPr>
                <w:sz w:val="20"/>
              </w:rPr>
            </w:pPr>
            <w:r w:rsidRPr="00EA7132">
              <w:rPr>
                <w:spacing w:val="-4"/>
              </w:rPr>
              <w:t xml:space="preserve">Procurement of Works for </w:t>
            </w:r>
            <w:r w:rsidR="00EA7132" w:rsidRPr="00EA7132">
              <w:rPr>
                <w:spacing w:val="-4"/>
              </w:rPr>
              <w:t>Lot 4B Wastewater Treatment Plants for</w:t>
            </w:r>
            <w:r w:rsidR="00EA7132">
              <w:rPr>
                <w:spacing w:val="-4"/>
              </w:rPr>
              <w:t xml:space="preserve"> t</w:t>
            </w:r>
            <w:r w:rsidR="00EA7132" w:rsidRPr="00EA7132">
              <w:rPr>
                <w:spacing w:val="-4"/>
              </w:rPr>
              <w:t>he villages of Urut, Khnatsakh ,Agarak and Margara (Margara as optional) in the Republic of Armenia</w:t>
            </w:r>
            <w:r w:rsidR="00EA7132">
              <w:rPr>
                <w:sz w:val="20"/>
              </w:rPr>
              <w:t xml:space="preserve"> </w:t>
            </w:r>
          </w:p>
          <w:p w:rsidR="00EA7132" w:rsidRDefault="00EA7132" w:rsidP="00EA7132">
            <w:pPr>
              <w:pStyle w:val="Gtxt"/>
              <w:rPr>
                <w:sz w:val="20"/>
              </w:rPr>
            </w:pPr>
          </w:p>
        </w:tc>
      </w:tr>
      <w:tr w:rsidR="00B0583A" w:rsidTr="00EA7132">
        <w:tc>
          <w:tcPr>
            <w:tcW w:w="3156" w:type="dxa"/>
            <w:gridSpan w:val="2"/>
          </w:tcPr>
          <w:p w:rsidR="00B0583A" w:rsidRPr="00C85057" w:rsidRDefault="00B0583A" w:rsidP="00EA7132">
            <w:pPr>
              <w:pStyle w:val="Gtxt"/>
              <w:rPr>
                <w:b/>
                <w:bCs w:val="0"/>
              </w:rPr>
            </w:pPr>
            <w:r w:rsidRPr="00C85057">
              <w:rPr>
                <w:b/>
                <w:bCs w:val="0"/>
              </w:rPr>
              <w:t>KfW´s Procurement Number</w:t>
            </w:r>
          </w:p>
        </w:tc>
        <w:tc>
          <w:tcPr>
            <w:tcW w:w="6281" w:type="dxa"/>
          </w:tcPr>
          <w:p w:rsidR="00B0583A" w:rsidRDefault="00B0583A" w:rsidP="006341D7">
            <w:pPr>
              <w:pStyle w:val="Gtxt"/>
            </w:pPr>
            <w:r>
              <w:t>ICB</w:t>
            </w:r>
            <w:r w:rsidRPr="00D107F2">
              <w:t xml:space="preserve"> </w:t>
            </w:r>
            <w:r>
              <w:t>50</w:t>
            </w:r>
            <w:r w:rsidR="006341D7">
              <w:t>9059</w:t>
            </w:r>
          </w:p>
          <w:p w:rsidR="00B0583A" w:rsidRDefault="00B0583A" w:rsidP="000F3974">
            <w:pPr>
              <w:spacing w:line="229" w:lineRule="exact"/>
              <w:ind w:left="100" w:right="-20"/>
              <w:jc w:val="both"/>
              <w:rPr>
                <w:rFonts w:ascii="Arial" w:eastAsia="Arial" w:hAnsi="Arial" w:cs="Arial"/>
                <w:sz w:val="20"/>
                <w:szCs w:val="20"/>
              </w:rPr>
            </w:pPr>
          </w:p>
        </w:tc>
      </w:tr>
      <w:tr w:rsidR="00B0583A" w:rsidTr="00EA7132">
        <w:tc>
          <w:tcPr>
            <w:tcW w:w="3156" w:type="dxa"/>
            <w:gridSpan w:val="2"/>
          </w:tcPr>
          <w:p w:rsidR="00B0583A" w:rsidRPr="00C85057" w:rsidRDefault="00B0583A" w:rsidP="00EA7132">
            <w:pPr>
              <w:pStyle w:val="Gtxt"/>
              <w:rPr>
                <w:b/>
                <w:bCs w:val="0"/>
              </w:rPr>
            </w:pPr>
            <w:r w:rsidRPr="00C85057">
              <w:rPr>
                <w:b/>
                <w:bCs w:val="0"/>
              </w:rPr>
              <w:t>Type of Notice and Tender Stage</w:t>
            </w:r>
          </w:p>
        </w:tc>
        <w:tc>
          <w:tcPr>
            <w:tcW w:w="6281" w:type="dxa"/>
          </w:tcPr>
          <w:p w:rsidR="00B0583A" w:rsidRDefault="00C85057" w:rsidP="006341D7">
            <w:pPr>
              <w:pStyle w:val="Gtxt"/>
            </w:pPr>
            <w:r>
              <w:t xml:space="preserve">Tender Notice - </w:t>
            </w:r>
            <w:r w:rsidR="006341D7">
              <w:t>Request</w:t>
            </w:r>
            <w:r w:rsidR="00B0583A" w:rsidRPr="00D107F2">
              <w:t xml:space="preserve"> f</w:t>
            </w:r>
            <w:r w:rsidR="00B0583A">
              <w:t xml:space="preserve">or </w:t>
            </w:r>
            <w:r w:rsidR="006341D7">
              <w:t>Application</w:t>
            </w:r>
            <w:r>
              <w:t>s</w:t>
            </w:r>
            <w:r w:rsidR="00B0583A" w:rsidRPr="00D107F2">
              <w:t xml:space="preserve"> </w:t>
            </w:r>
            <w:r w:rsidR="00B0583A">
              <w:t>(P</w:t>
            </w:r>
            <w:r w:rsidR="00B0583A" w:rsidRPr="00D107F2">
              <w:t>re</w:t>
            </w:r>
            <w:r w:rsidR="006341D7">
              <w:t>q</w:t>
            </w:r>
            <w:r w:rsidR="00B0583A">
              <w:t>u</w:t>
            </w:r>
            <w:r w:rsidR="00B0583A" w:rsidRPr="00D107F2">
              <w:t>alific</w:t>
            </w:r>
            <w:r w:rsidR="00B0583A">
              <w:t>at</w:t>
            </w:r>
            <w:r w:rsidR="00B0583A" w:rsidRPr="00D107F2">
              <w:t>i</w:t>
            </w:r>
            <w:r w:rsidR="00B0583A">
              <w:t>o</w:t>
            </w:r>
            <w:r w:rsidR="00B0583A" w:rsidRPr="00D107F2">
              <w:t>n</w:t>
            </w:r>
            <w:r w:rsidR="00B0583A">
              <w:t>)</w:t>
            </w:r>
            <w:r w:rsidR="001960A0">
              <w:t>.</w:t>
            </w:r>
          </w:p>
          <w:p w:rsidR="00B0583A" w:rsidRDefault="00B0583A" w:rsidP="000F3974">
            <w:pPr>
              <w:spacing w:line="229" w:lineRule="exact"/>
              <w:ind w:left="100" w:right="-20"/>
              <w:jc w:val="both"/>
              <w:rPr>
                <w:rFonts w:ascii="Arial" w:eastAsia="Arial" w:hAnsi="Arial" w:cs="Arial"/>
                <w:sz w:val="20"/>
                <w:szCs w:val="20"/>
              </w:rPr>
            </w:pPr>
          </w:p>
        </w:tc>
      </w:tr>
      <w:tr w:rsidR="00B0583A" w:rsidTr="00EA7132">
        <w:tc>
          <w:tcPr>
            <w:tcW w:w="3156" w:type="dxa"/>
            <w:gridSpan w:val="2"/>
          </w:tcPr>
          <w:p w:rsidR="00B0583A" w:rsidRPr="00C85057" w:rsidRDefault="00B0583A" w:rsidP="00EA7132">
            <w:pPr>
              <w:pStyle w:val="Gtxt"/>
              <w:rPr>
                <w:b/>
                <w:bCs w:val="0"/>
              </w:rPr>
            </w:pPr>
            <w:r w:rsidRPr="00C85057">
              <w:rPr>
                <w:b/>
                <w:bCs w:val="0"/>
              </w:rPr>
              <w:t xml:space="preserve">Project Measures </w:t>
            </w:r>
          </w:p>
        </w:tc>
        <w:tc>
          <w:tcPr>
            <w:tcW w:w="6281" w:type="dxa"/>
          </w:tcPr>
          <w:p w:rsidR="006341D7" w:rsidRDefault="006341D7" w:rsidP="008B538E">
            <w:pPr>
              <w:pStyle w:val="Gtxt"/>
              <w:rPr>
                <w:color w:val="202124"/>
                <w:shd w:val="clear" w:color="auto" w:fill="FFFFFF"/>
              </w:rPr>
            </w:pPr>
            <w:r w:rsidRPr="00891E4C">
              <w:t xml:space="preserve">The Works </w:t>
            </w:r>
            <w:r>
              <w:t xml:space="preserve">of Lot 4B include </w:t>
            </w:r>
            <w:r w:rsidRPr="00891E4C">
              <w:t xml:space="preserve">the provision of </w:t>
            </w:r>
            <w:r>
              <w:t xml:space="preserve">Wastewater Treatment Plants (WWTP) </w:t>
            </w:r>
            <w:r w:rsidRPr="00891E4C">
              <w:t xml:space="preserve">within </w:t>
            </w:r>
            <w:r>
              <w:t>t</w:t>
            </w:r>
            <w:r w:rsidRPr="005110F3">
              <w:t>he villages of Urut, Khnatsakh,</w:t>
            </w:r>
            <w:r>
              <w:t xml:space="preserve"> </w:t>
            </w:r>
            <w:r w:rsidRPr="005110F3">
              <w:t>Agarak, and Margara</w:t>
            </w:r>
            <w:r>
              <w:t xml:space="preserve"> (Margara as optional Works)</w:t>
            </w:r>
            <w:r w:rsidRPr="005110F3">
              <w:t xml:space="preserve"> in the Republic of Armenia</w:t>
            </w:r>
            <w:r>
              <w:t xml:space="preserve">. </w:t>
            </w:r>
          </w:p>
          <w:p w:rsidR="008B538E" w:rsidRDefault="006341D7" w:rsidP="008B538E">
            <w:pPr>
              <w:pStyle w:val="Gtxt"/>
            </w:pPr>
            <w:r w:rsidRPr="00AC3AD2">
              <w:t xml:space="preserve">The total design population (2040) for the </w:t>
            </w:r>
            <w:r>
              <w:t>four</w:t>
            </w:r>
            <w:r w:rsidRPr="00AC3AD2">
              <w:t xml:space="preserve"> villages is approximately 8,000</w:t>
            </w:r>
            <w:r>
              <w:t xml:space="preserve"> PE. </w:t>
            </w:r>
          </w:p>
          <w:p w:rsidR="006341D7" w:rsidRPr="001507B3" w:rsidRDefault="006341D7" w:rsidP="008B538E">
            <w:pPr>
              <w:pStyle w:val="Gtxt"/>
            </w:pPr>
            <w:r w:rsidRPr="00891E4C">
              <w:t xml:space="preserve">Environmental </w:t>
            </w:r>
            <w:r>
              <w:t>Screening</w:t>
            </w:r>
            <w:r w:rsidRPr="00891E4C">
              <w:t xml:space="preserve"> has been conducted</w:t>
            </w:r>
            <w:r>
              <w:t xml:space="preserve">. </w:t>
            </w:r>
            <w:r w:rsidRPr="00660162">
              <w:t xml:space="preserve">In accordance with </w:t>
            </w:r>
            <w:r w:rsidRPr="00660162">
              <w:rPr>
                <w:rFonts w:cs="Sylfaen"/>
                <w:lang w:val="hy-AM"/>
              </w:rPr>
              <w:t>KfW</w:t>
            </w:r>
            <w:r w:rsidRPr="00660162">
              <w:t xml:space="preserve"> and WB Environmental Policy </w:t>
            </w:r>
            <w:r w:rsidRPr="00660162">
              <w:rPr>
                <w:lang w:val="hy-AM"/>
              </w:rPr>
              <w:t xml:space="preserve">the project is classified under the Environmental Category </w:t>
            </w:r>
            <w:r w:rsidRPr="00660162">
              <w:t>“B”</w:t>
            </w:r>
            <w:r>
              <w:t>,</w:t>
            </w:r>
            <w:r w:rsidRPr="00660162">
              <w:t xml:space="preserve"> which does require an ESIA</w:t>
            </w:r>
            <w:r>
              <w:t xml:space="preserve"> for environmental consent. Therefore, A</w:t>
            </w:r>
            <w:r w:rsidRPr="00891E4C">
              <w:t xml:space="preserve">pplicants shall assume </w:t>
            </w:r>
            <w:r>
              <w:t>ESHS level </w:t>
            </w:r>
            <w:r w:rsidRPr="00891E4C">
              <w:t>2</w:t>
            </w:r>
            <w:r>
              <w:t>.</w:t>
            </w:r>
          </w:p>
          <w:p w:rsidR="006341D7" w:rsidRDefault="006341D7" w:rsidP="008B538E">
            <w:pPr>
              <w:pStyle w:val="Gtxt"/>
            </w:pPr>
            <w:r>
              <w:lastRenderedPageBreak/>
              <w:t>Generally, the scope of the Works are</w:t>
            </w:r>
            <w:r w:rsidR="008B538E">
              <w:t xml:space="preserve"> </w:t>
            </w:r>
            <w:r>
              <w:t>Wastewater treatment plants comprising:</w:t>
            </w:r>
          </w:p>
          <w:p w:rsidR="006341D7" w:rsidRDefault="006341D7" w:rsidP="008B538E">
            <w:pPr>
              <w:pStyle w:val="Gbullet"/>
            </w:pPr>
            <w:r>
              <w:t>Mechanical pre-treatment (coarse + fine screen + grit &amp; grease removal)</w:t>
            </w:r>
          </w:p>
          <w:p w:rsidR="006341D7" w:rsidRDefault="006341D7" w:rsidP="008B538E">
            <w:pPr>
              <w:pStyle w:val="Gbullet"/>
            </w:pPr>
            <w:r>
              <w:t xml:space="preserve">Main biological treatment (primary settling + </w:t>
            </w:r>
            <w:r w:rsidRPr="00E07138">
              <w:t>rotatory biological contactor</w:t>
            </w:r>
            <w:r>
              <w:t xml:space="preserve"> + settler)</w:t>
            </w:r>
          </w:p>
          <w:p w:rsidR="006341D7" w:rsidRDefault="006341D7" w:rsidP="008B538E">
            <w:pPr>
              <w:pStyle w:val="Gbullet"/>
            </w:pPr>
            <w:r>
              <w:t>Effluent Disinfection (maturation ponds)</w:t>
            </w:r>
          </w:p>
          <w:p w:rsidR="006341D7" w:rsidRPr="00496081" w:rsidRDefault="006341D7" w:rsidP="008B538E">
            <w:pPr>
              <w:pStyle w:val="Gbullet"/>
            </w:pPr>
            <w:r>
              <w:t>Sludge treatment and storage (incl stabilization, dewatering, storage)</w:t>
            </w:r>
          </w:p>
          <w:p w:rsidR="006341D7" w:rsidRPr="00E07138" w:rsidRDefault="006341D7" w:rsidP="008B538E">
            <w:pPr>
              <w:pStyle w:val="Gbullet"/>
              <w:numPr>
                <w:ilvl w:val="0"/>
                <w:numId w:val="0"/>
              </w:numPr>
              <w:ind w:left="462"/>
            </w:pPr>
            <w:r w:rsidRPr="006541A1">
              <w:rPr>
                <w:b/>
              </w:rPr>
              <w:t>Remark</w:t>
            </w:r>
            <w:r>
              <w:t xml:space="preserve">: </w:t>
            </w:r>
            <w:r w:rsidRPr="00E07138">
              <w:t xml:space="preserve">Alternative process solutions for WWTP that meet the </w:t>
            </w:r>
            <w:r>
              <w:t>purification goals shall be accepted, main selection criteria shall be CAPEX and OPEX</w:t>
            </w:r>
            <w:r w:rsidRPr="00E07138">
              <w:t>.</w:t>
            </w:r>
          </w:p>
          <w:p w:rsidR="006341D7" w:rsidRPr="00106E92" w:rsidRDefault="006341D7" w:rsidP="008B538E">
            <w:pPr>
              <w:pStyle w:val="Gtxt"/>
            </w:pPr>
            <w:r>
              <w:t xml:space="preserve">Implementation of the entire </w:t>
            </w:r>
            <w:r w:rsidR="008B538E">
              <w:t>W</w:t>
            </w:r>
            <w:r>
              <w:t>orks shall provide</w:t>
            </w:r>
            <w:r w:rsidRPr="006F6C15">
              <w:t xml:space="preserve"> treatment of wastewater for the</w:t>
            </w:r>
            <w:r>
              <w:t xml:space="preserve"> population of the villages.</w:t>
            </w:r>
          </w:p>
          <w:p w:rsidR="006341D7" w:rsidRDefault="006341D7" w:rsidP="008B538E">
            <w:pPr>
              <w:pStyle w:val="Gtxt"/>
            </w:pPr>
            <w:r>
              <w:t>Geotechnical measurements and protections should be taken into account for location with landslide and rockfall risks. Additional geotechnical investigations are required.</w:t>
            </w:r>
            <w:r w:rsidRPr="0039114A">
              <w:t xml:space="preserve"> </w:t>
            </w:r>
          </w:p>
          <w:p w:rsidR="006341D7" w:rsidRPr="008B538E" w:rsidRDefault="006341D7" w:rsidP="008B538E">
            <w:pPr>
              <w:pStyle w:val="Gtxt"/>
              <w:rPr>
                <w:rFonts w:eastAsia="Times New Roman"/>
              </w:rPr>
            </w:pPr>
            <w:r w:rsidRPr="008B538E">
              <w:t xml:space="preserve">For the first design horizon, the design of the WWTP comprises a mechanical treatment unit with stone trap, coarse &amp; fine screen and grit and grease chamber, a primary sedimentation in an Imhoff </w:t>
            </w:r>
            <w:r w:rsidRPr="008B538E">
              <w:rPr>
                <w:rFonts w:eastAsia="Times New Roman"/>
              </w:rPr>
              <w:t>tanks upper section, a biological treatment for carbon (BOD</w:t>
            </w:r>
            <w:r w:rsidRPr="008B538E">
              <w:t xml:space="preserve">5) removal by Rotating Biological Contractor (RBC) which is followed by a final sedimentation. Sludge is treated by anaerobic cold </w:t>
            </w:r>
            <w:r w:rsidRPr="008B538E">
              <w:rPr>
                <w:rFonts w:eastAsia="Times New Roman"/>
              </w:rPr>
              <w:t>digestion in an Imhoff tank’s lower section.</w:t>
            </w:r>
          </w:p>
          <w:p w:rsidR="006341D7" w:rsidRPr="008B538E" w:rsidRDefault="006341D7" w:rsidP="008B538E">
            <w:pPr>
              <w:pStyle w:val="Gtxt"/>
            </w:pPr>
            <w:r w:rsidRPr="008B538E">
              <w:t xml:space="preserve">In general, the concept of the WWTP allows future extension for a next design horizon and furthermore it has the ability for complete nitrogen removal by enhancing the process accordingly. </w:t>
            </w:r>
          </w:p>
          <w:p w:rsidR="006341D7" w:rsidRDefault="006341D7" w:rsidP="008B538E">
            <w:pPr>
              <w:pStyle w:val="Gtxt"/>
            </w:pPr>
            <w:r w:rsidRPr="008B538E">
              <w:t>For 2040 the RBC is designed</w:t>
            </w:r>
            <w:r w:rsidRPr="00AC3AD2">
              <w:t xml:space="preserve"> to execute carbon removal and nitrification, thus for a later stage,</w:t>
            </w:r>
            <w:r>
              <w:t xml:space="preserve"> </w:t>
            </w:r>
            <w:r w:rsidRPr="00AC3AD2">
              <w:t>the Imhoff tanks may then be modified to denitrification basins and an additional sludge</w:t>
            </w:r>
            <w:r>
              <w:t xml:space="preserve"> </w:t>
            </w:r>
            <w:r w:rsidRPr="00AC3AD2">
              <w:t>stabilisation can be constructed to upgrade the WWTP performance and capacity.</w:t>
            </w:r>
          </w:p>
          <w:p w:rsidR="00B0583A" w:rsidRPr="008B538E" w:rsidRDefault="006341D7" w:rsidP="008B538E">
            <w:pPr>
              <w:pStyle w:val="Gtxt"/>
            </w:pPr>
            <w:r w:rsidRPr="008B538E">
              <w:t>Contractor shall demonstrate potential for extension of WWTP within his design to meet at a second stage stricter requirements and full nutrient removal. Within his design for stage one, Contractor shall foresee all required connections and joints for future extension of the WWTPs and additionally required space shall be foreseen and demonstrated within layout for extension of each WWTP in respective villages.</w:t>
            </w:r>
          </w:p>
        </w:tc>
      </w:tr>
      <w:tr w:rsidR="00B0583A" w:rsidTr="006341D7">
        <w:tc>
          <w:tcPr>
            <w:tcW w:w="3147" w:type="dxa"/>
          </w:tcPr>
          <w:p w:rsidR="00B0583A" w:rsidRPr="00C85057" w:rsidRDefault="00B0583A" w:rsidP="006341D7">
            <w:pPr>
              <w:pStyle w:val="Gtxt"/>
              <w:rPr>
                <w:b/>
                <w:bCs w:val="0"/>
              </w:rPr>
            </w:pPr>
            <w:r w:rsidRPr="006341D7">
              <w:rPr>
                <w:b/>
                <w:bCs w:val="0"/>
              </w:rPr>
              <w:lastRenderedPageBreak/>
              <w:t>Durat</w:t>
            </w:r>
            <w:r w:rsidRPr="00C85057">
              <w:rPr>
                <w:b/>
                <w:bCs w:val="0"/>
              </w:rPr>
              <w:t>i</w:t>
            </w:r>
            <w:r w:rsidRPr="006341D7">
              <w:rPr>
                <w:b/>
                <w:bCs w:val="0"/>
              </w:rPr>
              <w:t>on</w:t>
            </w:r>
          </w:p>
        </w:tc>
        <w:tc>
          <w:tcPr>
            <w:tcW w:w="6290" w:type="dxa"/>
            <w:gridSpan w:val="2"/>
          </w:tcPr>
          <w:p w:rsidR="006341D7" w:rsidRDefault="006341D7" w:rsidP="006341D7">
            <w:pPr>
              <w:pStyle w:val="Gtxt"/>
            </w:pPr>
            <w:r>
              <w:t>Works contract period: 18 months (envisaged from September 2023)</w:t>
            </w:r>
          </w:p>
          <w:p w:rsidR="006341D7" w:rsidRDefault="006341D7" w:rsidP="006341D7">
            <w:pPr>
              <w:pStyle w:val="Gtxt"/>
            </w:pPr>
            <w:r>
              <w:t>DNP: 12 months</w:t>
            </w:r>
          </w:p>
          <w:p w:rsidR="00B0583A" w:rsidRDefault="00B0583A" w:rsidP="006341D7">
            <w:pPr>
              <w:spacing w:line="229" w:lineRule="exact"/>
              <w:ind w:left="100" w:right="-20"/>
              <w:jc w:val="both"/>
              <w:rPr>
                <w:rFonts w:ascii="Arial" w:eastAsia="Arial" w:hAnsi="Arial" w:cs="Arial"/>
                <w:sz w:val="20"/>
                <w:szCs w:val="20"/>
              </w:rPr>
            </w:pPr>
          </w:p>
        </w:tc>
      </w:tr>
      <w:tr w:rsidR="00B0583A" w:rsidTr="006341D7">
        <w:tc>
          <w:tcPr>
            <w:tcW w:w="3147" w:type="dxa"/>
          </w:tcPr>
          <w:p w:rsidR="00B0583A" w:rsidRPr="00C85057" w:rsidRDefault="00B0583A" w:rsidP="006341D7">
            <w:pPr>
              <w:pStyle w:val="Gtxt"/>
              <w:rPr>
                <w:b/>
                <w:bCs w:val="0"/>
              </w:rPr>
            </w:pPr>
            <w:r w:rsidRPr="006341D7">
              <w:rPr>
                <w:b/>
                <w:bCs w:val="0"/>
              </w:rPr>
              <w:t>Con</w:t>
            </w:r>
            <w:r w:rsidRPr="00C85057">
              <w:rPr>
                <w:b/>
                <w:bCs w:val="0"/>
              </w:rPr>
              <w:t>tr</w:t>
            </w:r>
            <w:r w:rsidRPr="006341D7">
              <w:rPr>
                <w:b/>
                <w:bCs w:val="0"/>
              </w:rPr>
              <w:t>a</w:t>
            </w:r>
            <w:r w:rsidRPr="00C85057">
              <w:rPr>
                <w:b/>
                <w:bCs w:val="0"/>
              </w:rPr>
              <w:t>c</w:t>
            </w:r>
            <w:r w:rsidRPr="006341D7">
              <w:rPr>
                <w:b/>
                <w:bCs w:val="0"/>
              </w:rPr>
              <w:t>t</w:t>
            </w:r>
          </w:p>
        </w:tc>
        <w:tc>
          <w:tcPr>
            <w:tcW w:w="6290" w:type="dxa"/>
            <w:gridSpan w:val="2"/>
          </w:tcPr>
          <w:p w:rsidR="00B0583A" w:rsidRPr="006341D7" w:rsidRDefault="00B0583A" w:rsidP="006341D7">
            <w:pPr>
              <w:pStyle w:val="Gtxt"/>
            </w:pPr>
            <w:r w:rsidRPr="006341D7">
              <w:t xml:space="preserve">The </w:t>
            </w:r>
            <w:r w:rsidR="008B538E">
              <w:t>tender procedure</w:t>
            </w:r>
            <w:r w:rsidRPr="006341D7">
              <w:t xml:space="preserve"> will follow KfW´s specimen two envelope, model. The selection of experienced Contractors is subject to the regulations contained in the “Guidelines for the Procurement of Consulting Services, Works, Plant, Goods and Non-Consulting Services in Financial Cooperation with Partner Countries” available at</w:t>
            </w:r>
            <w:r w:rsidR="008B538E">
              <w:t>:</w:t>
            </w:r>
            <w:r w:rsidRPr="006341D7">
              <w:t xml:space="preserve"> </w:t>
            </w:r>
          </w:p>
          <w:p w:rsidR="008B538E" w:rsidRDefault="00727939" w:rsidP="006341D7">
            <w:pPr>
              <w:pStyle w:val="Gtxt"/>
            </w:pPr>
            <w:hyperlink r:id="rId8">
              <w:r w:rsidR="00B0583A" w:rsidRPr="006341D7">
                <w:t>www.kfw-</w:t>
              </w:r>
            </w:hyperlink>
            <w:hyperlink r:id="rId9">
              <w:r w:rsidR="00B0583A" w:rsidRPr="006341D7">
                <w:t>entwicklungsbank.de</w:t>
              </w:r>
            </w:hyperlink>
          </w:p>
          <w:p w:rsidR="008B538E" w:rsidRPr="006341D7" w:rsidRDefault="008B538E" w:rsidP="006341D7">
            <w:pPr>
              <w:pStyle w:val="Gtxt"/>
            </w:pPr>
            <w:r>
              <w:t xml:space="preserve">Works under Lot 4B are intended to be implemented under </w:t>
            </w:r>
            <w:r w:rsidRPr="007547D8">
              <w:t xml:space="preserve">FIDIC </w:t>
            </w:r>
            <w:r w:rsidRPr="007547D8">
              <w:rPr>
                <w:color w:val="202124"/>
                <w:shd w:val="clear" w:color="auto" w:fill="FFFFFF"/>
              </w:rPr>
              <w:t>P</w:t>
            </w:r>
            <w:r>
              <w:rPr>
                <w:color w:val="202124"/>
                <w:shd w:val="clear" w:color="auto" w:fill="FFFFFF"/>
              </w:rPr>
              <w:t>lant and Design-Build Contract 2</w:t>
            </w:r>
            <w:r w:rsidRPr="007547D8">
              <w:rPr>
                <w:color w:val="202124"/>
                <w:shd w:val="clear" w:color="auto" w:fill="FFFFFF"/>
                <w:vertAlign w:val="superscript"/>
              </w:rPr>
              <w:t>nd</w:t>
            </w:r>
            <w:r>
              <w:rPr>
                <w:color w:val="202124"/>
                <w:shd w:val="clear" w:color="auto" w:fill="FFFFFF"/>
              </w:rPr>
              <w:t xml:space="preserve"> Ed (2017 Yellow Book), and 01 (one) year of Operation and Maintenance (O&amp;M) services for the WWTPs during the Defects Notification Period (DNP).</w:t>
            </w:r>
          </w:p>
          <w:p w:rsidR="00B0583A" w:rsidRDefault="00B0583A" w:rsidP="000F3974">
            <w:pPr>
              <w:spacing w:line="229" w:lineRule="exact"/>
              <w:ind w:left="100" w:right="-20"/>
              <w:jc w:val="both"/>
              <w:rPr>
                <w:rFonts w:ascii="Arial" w:eastAsia="Arial" w:hAnsi="Arial" w:cs="Arial"/>
                <w:sz w:val="20"/>
                <w:szCs w:val="20"/>
              </w:rPr>
            </w:pPr>
          </w:p>
        </w:tc>
      </w:tr>
      <w:tr w:rsidR="00C85057" w:rsidTr="006341D7">
        <w:tc>
          <w:tcPr>
            <w:tcW w:w="3147" w:type="dxa"/>
          </w:tcPr>
          <w:p w:rsidR="00C85057" w:rsidRPr="006341D7" w:rsidRDefault="00C85057" w:rsidP="006341D7">
            <w:pPr>
              <w:pStyle w:val="Gtxt"/>
              <w:rPr>
                <w:b/>
                <w:bCs w:val="0"/>
              </w:rPr>
            </w:pPr>
            <w:r>
              <w:rPr>
                <w:b/>
                <w:bCs w:val="0"/>
              </w:rPr>
              <w:t xml:space="preserve">Address where the complete </w:t>
            </w:r>
            <w:r w:rsidR="0011062D">
              <w:rPr>
                <w:b/>
                <w:bCs w:val="0"/>
              </w:rPr>
              <w:t>Prequalification documents</w:t>
            </w:r>
            <w:r>
              <w:rPr>
                <w:b/>
                <w:bCs w:val="0"/>
              </w:rPr>
              <w:t xml:space="preserve"> can be obtained</w:t>
            </w:r>
          </w:p>
        </w:tc>
        <w:tc>
          <w:tcPr>
            <w:tcW w:w="6290" w:type="dxa"/>
            <w:gridSpan w:val="2"/>
          </w:tcPr>
          <w:p w:rsidR="00C85057" w:rsidRDefault="008B538E" w:rsidP="008B538E">
            <w:pPr>
              <w:pStyle w:val="Gtxt"/>
              <w:rPr>
                <w:color w:val="202124"/>
                <w:shd w:val="clear" w:color="auto" w:fill="FFFFFF"/>
              </w:rPr>
            </w:pPr>
            <w:r w:rsidRPr="008B538E">
              <w:rPr>
                <w:color w:val="202124"/>
                <w:shd w:val="clear" w:color="auto" w:fill="FFFFFF"/>
              </w:rPr>
              <w:t>Prequalification documents will be distributed electronically only (by e-mail)</w:t>
            </w:r>
            <w:r>
              <w:rPr>
                <w:color w:val="202124"/>
                <w:shd w:val="clear" w:color="auto" w:fill="FFFFFF"/>
              </w:rPr>
              <w:t xml:space="preserve"> </w:t>
            </w:r>
            <w:r w:rsidR="00C85057" w:rsidRPr="008B538E">
              <w:rPr>
                <w:color w:val="202124"/>
                <w:shd w:val="clear" w:color="auto" w:fill="FFFFFF"/>
              </w:rPr>
              <w:t xml:space="preserve">upon written request to the PEA in the electronic email </w:t>
            </w:r>
            <w:r>
              <w:rPr>
                <w:color w:val="202124"/>
                <w:shd w:val="clear" w:color="auto" w:fill="FFFFFF"/>
              </w:rPr>
              <w:t>indicated above</w:t>
            </w:r>
            <w:r w:rsidR="00C85057" w:rsidRPr="008B538E">
              <w:rPr>
                <w:color w:val="202124"/>
                <w:shd w:val="clear" w:color="auto" w:fill="FFFFFF"/>
              </w:rPr>
              <w:t>.</w:t>
            </w:r>
          </w:p>
          <w:p w:rsidR="008B538E" w:rsidRPr="00C85057" w:rsidRDefault="008B538E" w:rsidP="008B538E">
            <w:pPr>
              <w:pStyle w:val="Gtxt"/>
            </w:pPr>
          </w:p>
        </w:tc>
      </w:tr>
    </w:tbl>
    <w:p w:rsidR="00B0583A" w:rsidRDefault="00B0583A" w:rsidP="00B0583A">
      <w:pPr>
        <w:spacing w:before="7" w:after="0" w:line="240" w:lineRule="exact"/>
        <w:rPr>
          <w:sz w:val="24"/>
          <w:szCs w:val="24"/>
        </w:rPr>
      </w:pPr>
    </w:p>
    <w:p w:rsidR="00BB7CD5" w:rsidRDefault="00727939"/>
    <w:sectPr w:rsidR="00BB7CD5" w:rsidSect="00EF771E">
      <w:footerReference w:type="default" r:id="rId10"/>
      <w:headerReference w:type="first" r:id="rId11"/>
      <w:footerReference w:type="first" r:id="rId12"/>
      <w:pgSz w:w="11907" w:h="16839" w:code="9"/>
      <w:pgMar w:top="920" w:right="1180" w:bottom="280" w:left="1280"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39" w:rsidRDefault="00727939" w:rsidP="00B0583A">
      <w:pPr>
        <w:spacing w:after="0" w:line="240" w:lineRule="auto"/>
      </w:pPr>
      <w:r>
        <w:separator/>
      </w:r>
    </w:p>
  </w:endnote>
  <w:endnote w:type="continuationSeparator" w:id="0">
    <w:p w:rsidR="00727939" w:rsidRDefault="00727939" w:rsidP="00B0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2C" w:rsidRDefault="00E0772C">
    <w:pPr>
      <w:pStyle w:val="Footer"/>
      <w:rPr>
        <w:lang w:val="es-ES"/>
      </w:rPr>
    </w:pPr>
  </w:p>
  <w:p w:rsidR="00E0772C" w:rsidRDefault="00E0772C">
    <w:pPr>
      <w:pStyle w:val="Footer"/>
      <w:rPr>
        <w:lang w:val="es-ES"/>
      </w:rPr>
    </w:pPr>
  </w:p>
  <w:p w:rsidR="00E0772C" w:rsidRPr="00E0772C" w:rsidRDefault="00E0772C">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1E" w:rsidRDefault="00EF771E">
    <w:pPr>
      <w:pStyle w:val="Footer"/>
      <w:rPr>
        <w:lang w:val="es-ES"/>
      </w:rPr>
    </w:pPr>
  </w:p>
  <w:p w:rsidR="00EF771E" w:rsidRDefault="00EF771E">
    <w:pPr>
      <w:pStyle w:val="Footer"/>
      <w:rPr>
        <w:lang w:val="es-ES"/>
      </w:rPr>
    </w:pPr>
  </w:p>
  <w:p w:rsidR="00EF771E" w:rsidRDefault="00EF771E">
    <w:pPr>
      <w:pStyle w:val="Footer"/>
      <w:rPr>
        <w:lang w:val="es-ES"/>
      </w:rPr>
    </w:pPr>
  </w:p>
  <w:p w:rsidR="00EF771E" w:rsidRPr="00EF771E" w:rsidRDefault="00EF771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39" w:rsidRDefault="00727939" w:rsidP="00B0583A">
      <w:pPr>
        <w:spacing w:after="0" w:line="240" w:lineRule="auto"/>
      </w:pPr>
      <w:r>
        <w:separator/>
      </w:r>
    </w:p>
  </w:footnote>
  <w:footnote w:type="continuationSeparator" w:id="0">
    <w:p w:rsidR="00727939" w:rsidRDefault="00727939" w:rsidP="00B0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1E" w:rsidRDefault="00EF771E">
    <w:pPr>
      <w:pStyle w:val="Header"/>
      <w:rPr>
        <w:lang w:val="es-ES"/>
      </w:rPr>
    </w:pPr>
  </w:p>
  <w:p w:rsidR="00EF771E" w:rsidRDefault="00EF771E">
    <w:pPr>
      <w:pStyle w:val="Header"/>
      <w:rPr>
        <w:lang w:val="es-ES"/>
      </w:rPr>
    </w:pPr>
  </w:p>
  <w:p w:rsidR="00EF771E" w:rsidRDefault="00EF771E">
    <w:pPr>
      <w:pStyle w:val="Header"/>
      <w:rPr>
        <w:lang w:val="es-ES"/>
      </w:rPr>
    </w:pPr>
  </w:p>
  <w:p w:rsidR="00EF771E" w:rsidRPr="00EF771E" w:rsidRDefault="00EF771E">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DA7"/>
    <w:multiLevelType w:val="hybridMultilevel"/>
    <w:tmpl w:val="69D458DA"/>
    <w:lvl w:ilvl="0" w:tplc="214CA15E">
      <w:start w:val="1"/>
      <w:numFmt w:val="bullet"/>
      <w:pStyle w:val="Gbullet"/>
      <w:lvlText w:val=""/>
      <w:lvlJc w:val="left"/>
      <w:pPr>
        <w:ind w:left="822" w:hanging="360"/>
      </w:pPr>
      <w:rPr>
        <w:rFonts w:ascii="Symbol" w:hAnsi="Symbol" w:hint="default"/>
        <w:color w:val="auto"/>
      </w:rPr>
    </w:lvl>
    <w:lvl w:ilvl="1" w:tplc="04070003" w:tentative="1">
      <w:start w:val="1"/>
      <w:numFmt w:val="bullet"/>
      <w:lvlText w:val="o"/>
      <w:lvlJc w:val="left"/>
      <w:pPr>
        <w:ind w:left="1542" w:hanging="360"/>
      </w:pPr>
      <w:rPr>
        <w:rFonts w:ascii="Courier New" w:hAnsi="Courier New" w:cs="Courier New" w:hint="default"/>
      </w:rPr>
    </w:lvl>
    <w:lvl w:ilvl="2" w:tplc="04070005" w:tentative="1">
      <w:start w:val="1"/>
      <w:numFmt w:val="bullet"/>
      <w:lvlText w:val=""/>
      <w:lvlJc w:val="left"/>
      <w:pPr>
        <w:ind w:left="2262" w:hanging="360"/>
      </w:pPr>
      <w:rPr>
        <w:rFonts w:ascii="Wingdings" w:hAnsi="Wingdings" w:hint="default"/>
      </w:rPr>
    </w:lvl>
    <w:lvl w:ilvl="3" w:tplc="04070001" w:tentative="1">
      <w:start w:val="1"/>
      <w:numFmt w:val="bullet"/>
      <w:lvlText w:val=""/>
      <w:lvlJc w:val="left"/>
      <w:pPr>
        <w:ind w:left="2982" w:hanging="360"/>
      </w:pPr>
      <w:rPr>
        <w:rFonts w:ascii="Symbol" w:hAnsi="Symbol" w:hint="default"/>
      </w:rPr>
    </w:lvl>
    <w:lvl w:ilvl="4" w:tplc="04070003" w:tentative="1">
      <w:start w:val="1"/>
      <w:numFmt w:val="bullet"/>
      <w:lvlText w:val="o"/>
      <w:lvlJc w:val="left"/>
      <w:pPr>
        <w:ind w:left="3702" w:hanging="360"/>
      </w:pPr>
      <w:rPr>
        <w:rFonts w:ascii="Courier New" w:hAnsi="Courier New" w:cs="Courier New" w:hint="default"/>
      </w:rPr>
    </w:lvl>
    <w:lvl w:ilvl="5" w:tplc="04070005" w:tentative="1">
      <w:start w:val="1"/>
      <w:numFmt w:val="bullet"/>
      <w:lvlText w:val=""/>
      <w:lvlJc w:val="left"/>
      <w:pPr>
        <w:ind w:left="4422" w:hanging="360"/>
      </w:pPr>
      <w:rPr>
        <w:rFonts w:ascii="Wingdings" w:hAnsi="Wingdings" w:hint="default"/>
      </w:rPr>
    </w:lvl>
    <w:lvl w:ilvl="6" w:tplc="04070001" w:tentative="1">
      <w:start w:val="1"/>
      <w:numFmt w:val="bullet"/>
      <w:lvlText w:val=""/>
      <w:lvlJc w:val="left"/>
      <w:pPr>
        <w:ind w:left="5142" w:hanging="360"/>
      </w:pPr>
      <w:rPr>
        <w:rFonts w:ascii="Symbol" w:hAnsi="Symbol" w:hint="default"/>
      </w:rPr>
    </w:lvl>
    <w:lvl w:ilvl="7" w:tplc="04070003" w:tentative="1">
      <w:start w:val="1"/>
      <w:numFmt w:val="bullet"/>
      <w:lvlText w:val="o"/>
      <w:lvlJc w:val="left"/>
      <w:pPr>
        <w:ind w:left="5862" w:hanging="360"/>
      </w:pPr>
      <w:rPr>
        <w:rFonts w:ascii="Courier New" w:hAnsi="Courier New" w:cs="Courier New" w:hint="default"/>
      </w:rPr>
    </w:lvl>
    <w:lvl w:ilvl="8" w:tplc="04070005" w:tentative="1">
      <w:start w:val="1"/>
      <w:numFmt w:val="bullet"/>
      <w:lvlText w:val=""/>
      <w:lvlJc w:val="left"/>
      <w:pPr>
        <w:ind w:left="6582" w:hanging="360"/>
      </w:pPr>
      <w:rPr>
        <w:rFonts w:ascii="Wingdings" w:hAnsi="Wingdings" w:hint="default"/>
      </w:rPr>
    </w:lvl>
  </w:abstractNum>
  <w:abstractNum w:abstractNumId="1" w15:restartNumberingAfterBreak="0">
    <w:nsid w:val="190467AA"/>
    <w:multiLevelType w:val="hybridMultilevel"/>
    <w:tmpl w:val="62F8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0754"/>
    <w:multiLevelType w:val="hybridMultilevel"/>
    <w:tmpl w:val="AF7CB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3524D2"/>
    <w:multiLevelType w:val="hybridMultilevel"/>
    <w:tmpl w:val="7512B084"/>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3A"/>
    <w:rsid w:val="0001462C"/>
    <w:rsid w:val="00040B74"/>
    <w:rsid w:val="0011062D"/>
    <w:rsid w:val="001960A0"/>
    <w:rsid w:val="0025045E"/>
    <w:rsid w:val="003328D8"/>
    <w:rsid w:val="003472BA"/>
    <w:rsid w:val="003514D1"/>
    <w:rsid w:val="003B0798"/>
    <w:rsid w:val="00456661"/>
    <w:rsid w:val="004E2D68"/>
    <w:rsid w:val="005409C2"/>
    <w:rsid w:val="00575DA9"/>
    <w:rsid w:val="005B14D7"/>
    <w:rsid w:val="006341D7"/>
    <w:rsid w:val="006E3290"/>
    <w:rsid w:val="00727939"/>
    <w:rsid w:val="0079141E"/>
    <w:rsid w:val="008B538E"/>
    <w:rsid w:val="008D3DC8"/>
    <w:rsid w:val="009409DD"/>
    <w:rsid w:val="009E16B6"/>
    <w:rsid w:val="00A43838"/>
    <w:rsid w:val="00A54F17"/>
    <w:rsid w:val="00A87D60"/>
    <w:rsid w:val="00B0583A"/>
    <w:rsid w:val="00BA092D"/>
    <w:rsid w:val="00BF60E2"/>
    <w:rsid w:val="00C85057"/>
    <w:rsid w:val="00D4438C"/>
    <w:rsid w:val="00D95102"/>
    <w:rsid w:val="00E06FD4"/>
    <w:rsid w:val="00E0772C"/>
    <w:rsid w:val="00E30387"/>
    <w:rsid w:val="00E32D21"/>
    <w:rsid w:val="00EA5D02"/>
    <w:rsid w:val="00EA7132"/>
    <w:rsid w:val="00EC6878"/>
    <w:rsid w:val="00EF771E"/>
    <w:rsid w:val="00F96005"/>
    <w:rsid w:val="00FC7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5E651-1346-4795-A33B-C79820E1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3A"/>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3A"/>
    <w:rPr>
      <w:lang w:val="en-US"/>
    </w:rPr>
  </w:style>
  <w:style w:type="paragraph" w:styleId="ListParagraph">
    <w:name w:val="List Paragraph"/>
    <w:aliases w:val="H2,List Paragraph1,List bullet,Dot pt,No Spacing1,List Paragraph Char Char Char,Indicator Text,Numbered Para 1,List Paragraph12,Bullet Points,MAIN CONTENT,Bullet 1,Colorful List - Accent 11,OBC Bullet,F5 List Paragraph,Normal numbered"/>
    <w:basedOn w:val="Normal"/>
    <w:link w:val="ListParagraphChar"/>
    <w:uiPriority w:val="34"/>
    <w:qFormat/>
    <w:rsid w:val="00B0583A"/>
    <w:pPr>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2 Char,List Paragraph1 Char,List bullet Char,Dot pt Char,No Spacing1 Char,List Paragraph Char Char Char Char,Indicator Text Char,Numbered Para 1 Char,List Paragraph12 Char,Bullet Points Char,MAIN CONTENT Char,Bullet 1 Char"/>
    <w:link w:val="ListParagraph"/>
    <w:uiPriority w:val="34"/>
    <w:qFormat/>
    <w:locked/>
    <w:rsid w:val="00B0583A"/>
    <w:rPr>
      <w:rFonts w:ascii="Times New Roman" w:eastAsia="Times New Roman" w:hAnsi="Times New Roman" w:cs="Times New Roman"/>
      <w:sz w:val="24"/>
      <w:szCs w:val="24"/>
      <w:lang w:val="en-US"/>
    </w:rPr>
  </w:style>
  <w:style w:type="table" w:styleId="TableGrid">
    <w:name w:val="Table Grid"/>
    <w:basedOn w:val="TableNormal"/>
    <w:uiPriority w:val="59"/>
    <w:rsid w:val="00B0583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5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83A"/>
    <w:rPr>
      <w:lang w:val="en-US"/>
    </w:rPr>
  </w:style>
  <w:style w:type="paragraph" w:styleId="BalloonText">
    <w:name w:val="Balloon Text"/>
    <w:basedOn w:val="Normal"/>
    <w:link w:val="BalloonTextChar"/>
    <w:uiPriority w:val="99"/>
    <w:semiHidden/>
    <w:unhideWhenUsed/>
    <w:rsid w:val="00EF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1E"/>
    <w:rPr>
      <w:rFonts w:ascii="Tahoma" w:hAnsi="Tahoma" w:cs="Tahoma"/>
      <w:sz w:val="16"/>
      <w:szCs w:val="16"/>
      <w:lang w:val="en-US"/>
    </w:rPr>
  </w:style>
  <w:style w:type="character" w:styleId="Hyperlink">
    <w:name w:val="Hyperlink"/>
    <w:basedOn w:val="DefaultParagraphFont"/>
    <w:uiPriority w:val="99"/>
    <w:rsid w:val="00EA7132"/>
    <w:rPr>
      <w:color w:val="0000FF"/>
      <w:u w:val="single"/>
    </w:rPr>
  </w:style>
  <w:style w:type="paragraph" w:customStyle="1" w:styleId="Gtxt">
    <w:name w:val="G_txt"/>
    <w:basedOn w:val="Normal"/>
    <w:qFormat/>
    <w:rsid w:val="008B538E"/>
    <w:pPr>
      <w:spacing w:before="60" w:after="60" w:line="240" w:lineRule="auto"/>
      <w:jc w:val="both"/>
    </w:pPr>
    <w:rPr>
      <w:rFonts w:ascii="Arial" w:eastAsia="Arial" w:hAnsi="Arial" w:cs="Arial"/>
      <w:bCs/>
      <w:szCs w:val="20"/>
    </w:rPr>
  </w:style>
  <w:style w:type="paragraph" w:customStyle="1" w:styleId="Gbullet">
    <w:name w:val="G_bullet"/>
    <w:basedOn w:val="Normal"/>
    <w:qFormat/>
    <w:rsid w:val="008B538E"/>
    <w:pPr>
      <w:numPr>
        <w:numId w:val="2"/>
      </w:numPr>
      <w:autoSpaceDE w:val="0"/>
      <w:autoSpaceDN w:val="0"/>
      <w:spacing w:before="120" w:after="120" w:line="240" w:lineRule="auto"/>
      <w:jc w:val="both"/>
    </w:pPr>
    <w:rPr>
      <w:rFonts w:ascii="Arial" w:eastAsia="Times New Roman" w:hAnsi="Arial" w:cs="Times New Roman"/>
      <w:spacing w:val="-4"/>
      <w:szCs w:val="24"/>
    </w:rPr>
  </w:style>
  <w:style w:type="paragraph" w:customStyle="1" w:styleId="Style22">
    <w:name w:val="Style 22"/>
    <w:basedOn w:val="Normal"/>
    <w:rsid w:val="006341D7"/>
    <w:pPr>
      <w:autoSpaceDE w:val="0"/>
      <w:autoSpaceDN w:val="0"/>
      <w:spacing w:before="120" w:after="120" w:line="276" w:lineRule="exact"/>
      <w:jc w:val="both"/>
    </w:pPr>
    <w:rPr>
      <w:rFonts w:ascii="Arial" w:eastAsia="Times New Roman" w:hAnsi="Arial" w:cs="Times New Roman"/>
      <w:sz w:val="24"/>
      <w:szCs w:val="24"/>
    </w:rPr>
  </w:style>
  <w:style w:type="paragraph" w:customStyle="1" w:styleId="Style14">
    <w:name w:val="Style 14"/>
    <w:basedOn w:val="Normal"/>
    <w:rsid w:val="00C85057"/>
    <w:pPr>
      <w:autoSpaceDE w:val="0"/>
      <w:autoSpaceDN w:val="0"/>
      <w:spacing w:before="144" w:after="120" w:line="264" w:lineRule="exact"/>
      <w:ind w:left="288" w:hanging="288"/>
      <w:jc w:val="both"/>
    </w:pPr>
    <w:rPr>
      <w:rFonts w:ascii="Arial" w:eastAsia="Times New Roman" w:hAnsi="Arial" w:cs="Times New Roman"/>
      <w:sz w:val="24"/>
      <w:szCs w:val="24"/>
    </w:rPr>
  </w:style>
  <w:style w:type="paragraph" w:customStyle="1" w:styleId="Style7">
    <w:name w:val="Style 7"/>
    <w:basedOn w:val="Normal"/>
    <w:rsid w:val="00C85057"/>
    <w:pPr>
      <w:autoSpaceDE w:val="0"/>
      <w:autoSpaceDN w:val="0"/>
      <w:spacing w:before="120" w:after="120" w:line="480" w:lineRule="auto"/>
      <w:jc w:val="center"/>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6804">
      <w:bodyDiv w:val="1"/>
      <w:marLeft w:val="0"/>
      <w:marRight w:val="0"/>
      <w:marTop w:val="0"/>
      <w:marBottom w:val="0"/>
      <w:divBdr>
        <w:top w:val="none" w:sz="0" w:space="0" w:color="auto"/>
        <w:left w:val="none" w:sz="0" w:space="0" w:color="auto"/>
        <w:bottom w:val="none" w:sz="0" w:space="0" w:color="auto"/>
        <w:right w:val="none" w:sz="0" w:space="0" w:color="auto"/>
      </w:divBdr>
      <w:divsChild>
        <w:div w:id="130327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w-entwicklungsban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zalinyan@wsdp.a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fw-entwicklungsbank.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Gallart, Carlos</dc:creator>
  <cp:lastModifiedBy>User</cp:lastModifiedBy>
  <cp:revision>2</cp:revision>
  <cp:lastPrinted>2020-12-07T14:21:00Z</cp:lastPrinted>
  <dcterms:created xsi:type="dcterms:W3CDTF">2023-04-25T06:42:00Z</dcterms:created>
  <dcterms:modified xsi:type="dcterms:W3CDTF">2023-04-25T06:42:00Z</dcterms:modified>
</cp:coreProperties>
</file>