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Default="00237AD1" w:rsidP="00237AD1">
      <w:pPr>
        <w:pStyle w:val="a3"/>
        <w:spacing w:line="240" w:lineRule="auto"/>
        <w:ind w:firstLine="0"/>
        <w:jc w:val="center"/>
        <w:rPr>
          <w:rFonts w:ascii="Times New Roman" w:hAnsi="Times New Roman"/>
          <w:i w:val="0"/>
          <w:lang w:val="af-ZA"/>
        </w:rPr>
      </w:pP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4A4ADF">
        <w:rPr>
          <w:rFonts w:ascii="GHEA Grapalat" w:hAnsi="GHEA Grapalat"/>
          <w:i w:val="0"/>
          <w:lang w:val="hy-AM"/>
        </w:rPr>
        <w:t>31</w:t>
      </w:r>
      <w:r w:rsidRPr="00A1355A">
        <w:rPr>
          <w:rFonts w:ascii="GHEA Grapalat" w:hAnsi="GHEA Grapalat"/>
          <w:i w:val="0"/>
          <w:lang w:val="af-ZA"/>
        </w:rPr>
        <w:t>» «</w:t>
      </w:r>
      <w:r w:rsidR="004A4ADF" w:rsidRPr="004A4ADF">
        <w:rPr>
          <w:rFonts w:ascii="GHEA Grapalat" w:hAnsi="GHEA Grapalat"/>
          <w:i w:val="0"/>
          <w:lang w:val="hy-AM"/>
        </w:rPr>
        <w:t>March</w:t>
      </w:r>
      <w:r w:rsidR="006C3157">
        <w:rPr>
          <w:rFonts w:ascii="GHEA Grapalat" w:hAnsi="GHEA Grapalat"/>
          <w:i w:val="0"/>
          <w:lang w:val="af-ZA"/>
        </w:rPr>
        <w:t>» 2020</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3E1CE2" w:rsidRPr="00D178D0">
        <w:rPr>
          <w:rFonts w:ascii="Times New Roman" w:hAnsi="Times New Roman"/>
          <w:i w:val="0"/>
          <w:lang w:val="af-ZA"/>
        </w:rPr>
        <w:t>KMQH-GH</w:t>
      </w:r>
      <w:r w:rsidR="00643084" w:rsidRPr="00643084">
        <w:rPr>
          <w:rFonts w:ascii="Times New Roman" w:hAnsi="Times New Roman"/>
          <w:i w:val="0"/>
          <w:lang w:val="en-US"/>
        </w:rPr>
        <w:t>A</w:t>
      </w:r>
      <w:r w:rsidR="008D6AA9" w:rsidRPr="00CC1755">
        <w:rPr>
          <w:rFonts w:ascii="Times New Roman" w:hAnsi="Times New Roman"/>
          <w:i w:val="0"/>
          <w:lang w:val="en-US"/>
        </w:rPr>
        <w:t>P</w:t>
      </w:r>
      <w:r w:rsidR="00643084">
        <w:rPr>
          <w:rFonts w:ascii="Times New Roman" w:hAnsi="Times New Roman"/>
          <w:i w:val="0"/>
          <w:lang w:val="af-ZA"/>
        </w:rPr>
        <w:t>ZB</w:t>
      </w:r>
      <w:r w:rsidR="009E30E3">
        <w:rPr>
          <w:rFonts w:ascii="Times New Roman" w:hAnsi="Times New Roman"/>
          <w:i w:val="0"/>
          <w:lang w:val="af-ZA"/>
        </w:rPr>
        <w:t>-</w:t>
      </w:r>
      <w:r w:rsidR="00D0421B">
        <w:rPr>
          <w:rFonts w:ascii="Times New Roman" w:hAnsi="Times New Roman"/>
          <w:i w:val="0"/>
          <w:lang w:val="af-ZA"/>
        </w:rPr>
        <w:t>20</w:t>
      </w:r>
      <w:r w:rsidR="003E1CE2" w:rsidRPr="00D178D0">
        <w:rPr>
          <w:rFonts w:ascii="Times New Roman" w:hAnsi="Times New Roman"/>
          <w:i w:val="0"/>
          <w:lang w:val="af-ZA"/>
        </w:rPr>
        <w:t>/</w:t>
      </w:r>
      <w:r w:rsidR="00D0421B" w:rsidRPr="00D0421B">
        <w:rPr>
          <w:rFonts w:ascii="Times New Roman" w:hAnsi="Times New Roman"/>
          <w:i w:val="0"/>
          <w:lang w:val="en-US"/>
        </w:rPr>
        <w:t>0</w:t>
      </w:r>
      <w:r w:rsidR="004A4ADF">
        <w:rPr>
          <w:rFonts w:ascii="Times New Roman" w:hAnsi="Times New Roman"/>
          <w:i w:val="0"/>
          <w:lang w:val="en-US"/>
        </w:rPr>
        <w:t>2</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p>
    <w:p w:rsidR="00011573" w:rsidRPr="00CC1755" w:rsidRDefault="00383C94" w:rsidP="00CC1755">
      <w:pPr>
        <w:pStyle w:val="a3"/>
        <w:spacing w:line="240" w:lineRule="auto"/>
        <w:ind w:firstLine="708"/>
        <w:rPr>
          <w:rFonts w:ascii="GHEA Grapalat" w:hAnsi="GHEA Grapalat"/>
          <w:i w:val="0"/>
          <w:lang w:val="af-ZA"/>
        </w:rPr>
      </w:pPr>
      <w:r w:rsidRPr="00383C94">
        <w:rPr>
          <w:rFonts w:ascii="GHEA Grapalat" w:hAnsi="GHEA Grapalat"/>
          <w:sz w:val="24"/>
          <w:szCs w:val="24"/>
          <w:vertAlign w:val="superscript"/>
          <w:lang w:val="af-ZA"/>
        </w:rPr>
        <w:t>Fuel supply contract</w:t>
      </w:r>
    </w:p>
    <w:p w:rsidR="00B87BB5" w:rsidRDefault="00F60271" w:rsidP="004E613C">
      <w:pPr>
        <w:ind w:firstLine="708"/>
        <w:jc w:val="both"/>
        <w:rPr>
          <w:rFonts w:ascii="GHEA Grapalat" w:hAnsi="GHEA Grapalat"/>
          <w:sz w:val="16"/>
          <w:szCs w:val="16"/>
          <w:lang w:val="af-ZA"/>
        </w:rPr>
      </w:pPr>
      <w:r w:rsidRPr="00D11959">
        <w:rPr>
          <w:sz w:val="22"/>
          <w:szCs w:val="22"/>
          <w:lang w:val="af-ZA"/>
        </w:rPr>
        <w:t xml:space="preserve">The participant, selected by the Quotation request, according to the established procedure, will be offered to </w:t>
      </w:r>
      <w:r w:rsidR="006E6695" w:rsidRPr="006E6695">
        <w:rPr>
          <w:sz w:val="22"/>
          <w:szCs w:val="22"/>
          <w:u w:val="single"/>
          <w:lang w:val="af-ZA"/>
        </w:rPr>
        <w:t xml:space="preserve">sign a petrol </w:t>
      </w:r>
      <w:r w:rsidR="006E6695" w:rsidRPr="006E6695">
        <w:rPr>
          <w:sz w:val="22"/>
          <w:szCs w:val="22"/>
          <w:u w:val="single"/>
        </w:rPr>
        <w:t>delivery</w:t>
      </w:r>
      <w:r w:rsidR="006E6695" w:rsidRPr="006E6695">
        <w:rPr>
          <w:sz w:val="22"/>
          <w:szCs w:val="22"/>
          <w:u w:val="single"/>
          <w:lang w:val="af-ZA"/>
        </w:rPr>
        <w:t xml:space="preserve"> contract</w:t>
      </w:r>
      <w:r w:rsidR="006E6695">
        <w:rPr>
          <w:sz w:val="22"/>
          <w:szCs w:val="22"/>
          <w:lang w:val="af-ZA"/>
        </w:rPr>
        <w:t xml:space="preserve">(hereinafter the </w:t>
      </w:r>
      <w:r w:rsidR="006E6695" w:rsidRPr="006E6695">
        <w:rPr>
          <w:sz w:val="22"/>
          <w:szCs w:val="22"/>
        </w:rPr>
        <w:t>''Contract</w:t>
      </w:r>
      <w:r w:rsidR="006E6695" w:rsidRPr="00D11959">
        <w:rPr>
          <w:sz w:val="22"/>
          <w:szCs w:val="22"/>
          <w:lang w:val="af-ZA"/>
        </w:rPr>
        <w:t>").</w:t>
      </w:r>
    </w:p>
    <w:p w:rsidR="00726F76" w:rsidRDefault="006E6695" w:rsidP="00F60271">
      <w:pPr>
        <w:rPr>
          <w:sz w:val="22"/>
          <w:szCs w:val="22"/>
          <w:lang w:val="af-ZA"/>
        </w:rPr>
      </w:pPr>
      <w:r w:rsidRPr="00070236">
        <w:rPr>
          <w:rFonts w:ascii="GHEA Grapalat" w:hAnsi="GHEA Grapalat"/>
          <w:sz w:val="16"/>
          <w:szCs w:val="16"/>
          <w:lang w:val="af-ZA"/>
        </w:rPr>
        <w:t>(</w:t>
      </w:r>
      <w:r w:rsidRPr="008D6AA9">
        <w:rPr>
          <w:rFonts w:ascii="GHEA Grapalat" w:hAnsi="GHEA Grapalat"/>
          <w:i/>
          <w:sz w:val="16"/>
          <w:szCs w:val="16"/>
        </w:rPr>
        <w:t>product name</w:t>
      </w:r>
      <w:r w:rsidRPr="00070236">
        <w:rPr>
          <w:rFonts w:ascii="GHEA Grapalat" w:hAnsi="GHEA Grapalat"/>
          <w:sz w:val="16"/>
          <w:szCs w:val="16"/>
          <w:lang w:val="af-ZA"/>
        </w:rPr>
        <w:t>)</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 xml:space="preserve">12:00 - since the date of publication of the given announcement. At the same time, in order to receive a documentary invitation, the customer must submit a written application. Customer providesan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4A4ADF">
        <w:rPr>
          <w:rFonts w:ascii="Times New Roman" w:hAnsi="Times New Roman"/>
          <w:i w:val="0"/>
          <w:sz w:val="22"/>
          <w:szCs w:val="22"/>
          <w:lang w:val="en-US"/>
        </w:rPr>
        <w:t>09</w:t>
      </w:r>
      <w:r w:rsidRPr="00A1355A">
        <w:rPr>
          <w:rFonts w:ascii="Times New Roman" w:hAnsi="Times New Roman"/>
          <w:i w:val="0"/>
          <w:sz w:val="22"/>
          <w:szCs w:val="22"/>
          <w:lang w:val="af-ZA"/>
        </w:rPr>
        <w:t>" of "</w:t>
      </w:r>
      <w:r w:rsidR="00D0421B" w:rsidRPr="00D0421B">
        <w:rPr>
          <w:rFonts w:ascii="GHEA Grapalat" w:hAnsi="GHEA Grapalat"/>
          <w:i w:val="0"/>
          <w:lang w:val="hy-AM"/>
        </w:rPr>
        <w:t xml:space="preserve"> </w:t>
      </w:r>
      <w:r w:rsidR="00565799">
        <w:rPr>
          <w:rFonts w:ascii="GHEA Grapalat" w:hAnsi="GHEA Grapalat"/>
          <w:i w:val="0"/>
          <w:lang w:val="en-US"/>
        </w:rPr>
        <w:t>April</w:t>
      </w:r>
      <w:bookmarkStart w:id="0" w:name="_GoBack"/>
      <w:bookmarkEnd w:id="0"/>
      <w:r w:rsidR="00D0421B">
        <w:rPr>
          <w:rFonts w:ascii="Times New Roman" w:hAnsi="Times New Roman"/>
          <w:i w:val="0"/>
          <w:sz w:val="22"/>
          <w:szCs w:val="22"/>
          <w:lang w:val="af-ZA"/>
        </w:rPr>
        <w:t>" 2020</w:t>
      </w:r>
      <w:r w:rsidRPr="00A1355A">
        <w:rPr>
          <w:rFonts w:ascii="Times New Roman" w:hAnsi="Times New Roman"/>
          <w:i w:val="0"/>
          <w:sz w:val="22"/>
          <w:szCs w:val="22"/>
          <w:lang w:val="af-ZA"/>
        </w:rPr>
        <w:t xml:space="preserve"> at 12:00 hours.</w:t>
      </w:r>
    </w:p>
    <w:p w:rsidR="00376626"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Complaints concerning this procedure must be submitted to the Appeals Board for </w:t>
      </w:r>
      <w:r>
        <w:rPr>
          <w:rFonts w:ascii="Times New Roman" w:hAnsi="Times New Roman"/>
          <w:i w:val="0"/>
          <w:sz w:val="22"/>
          <w:szCs w:val="22"/>
          <w:lang w:val="af-ZA"/>
        </w:rPr>
        <w:t>Procurement at the address: Meli</w:t>
      </w:r>
      <w:r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Pr>
          <w:rFonts w:ascii="Times New Roman" w:hAnsi="Times New Roman"/>
          <w:i w:val="0"/>
          <w:sz w:val="22"/>
          <w:szCs w:val="22"/>
          <w:lang w:val="af-ZA"/>
        </w:rPr>
        <w:t>For the presentation of the complaint a</w:t>
      </w:r>
      <w:r w:rsidRPr="00E02238">
        <w:rPr>
          <w:rFonts w:ascii="Times New Roman" w:hAnsi="Times New Roman"/>
          <w:i w:val="0"/>
          <w:sz w:val="22"/>
          <w:szCs w:val="22"/>
          <w:lang w:val="af-ZA"/>
        </w:rPr>
        <w:t xml:space="preserve"> fee of 30,000 (thirty thousand) AMD is required which must be transferred to the treasury account "900008000482", </w:t>
      </w:r>
      <w:r>
        <w:rPr>
          <w:rFonts w:ascii="Times New Roman" w:hAnsi="Times New Roman"/>
          <w:i w:val="0"/>
          <w:sz w:val="22"/>
          <w:szCs w:val="22"/>
          <w:lang w:val="af-ZA"/>
        </w:rPr>
        <w:t>established free by</w:t>
      </w:r>
      <w:r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326C5"/>
    <w:rsid w:val="000061DF"/>
    <w:rsid w:val="00011573"/>
    <w:rsid w:val="00023E7E"/>
    <w:rsid w:val="00070236"/>
    <w:rsid w:val="00090678"/>
    <w:rsid w:val="000D2A28"/>
    <w:rsid w:val="001027E1"/>
    <w:rsid w:val="00125202"/>
    <w:rsid w:val="00127400"/>
    <w:rsid w:val="00127E8F"/>
    <w:rsid w:val="001465CE"/>
    <w:rsid w:val="00171791"/>
    <w:rsid w:val="001B4EED"/>
    <w:rsid w:val="001E59D7"/>
    <w:rsid w:val="00237AD1"/>
    <w:rsid w:val="002C3899"/>
    <w:rsid w:val="002C7454"/>
    <w:rsid w:val="002E03AF"/>
    <w:rsid w:val="00371DE6"/>
    <w:rsid w:val="00376626"/>
    <w:rsid w:val="00383C94"/>
    <w:rsid w:val="003C070E"/>
    <w:rsid w:val="003E1CE2"/>
    <w:rsid w:val="00406D8B"/>
    <w:rsid w:val="00415B42"/>
    <w:rsid w:val="004326C5"/>
    <w:rsid w:val="00464F67"/>
    <w:rsid w:val="0048583C"/>
    <w:rsid w:val="004A21AD"/>
    <w:rsid w:val="004A4ADF"/>
    <w:rsid w:val="004B50E1"/>
    <w:rsid w:val="004E613C"/>
    <w:rsid w:val="00516A6C"/>
    <w:rsid w:val="005470A8"/>
    <w:rsid w:val="005627E6"/>
    <w:rsid w:val="00565799"/>
    <w:rsid w:val="0059453F"/>
    <w:rsid w:val="005A52A4"/>
    <w:rsid w:val="005A7980"/>
    <w:rsid w:val="005D3983"/>
    <w:rsid w:val="00612C0E"/>
    <w:rsid w:val="00643084"/>
    <w:rsid w:val="006722DE"/>
    <w:rsid w:val="006726C2"/>
    <w:rsid w:val="006B314C"/>
    <w:rsid w:val="006C3157"/>
    <w:rsid w:val="006E6695"/>
    <w:rsid w:val="006F2917"/>
    <w:rsid w:val="00726F76"/>
    <w:rsid w:val="007551F6"/>
    <w:rsid w:val="007709FA"/>
    <w:rsid w:val="008967C1"/>
    <w:rsid w:val="008C1B7A"/>
    <w:rsid w:val="008D6AA9"/>
    <w:rsid w:val="008E6AC6"/>
    <w:rsid w:val="00922345"/>
    <w:rsid w:val="009E19D3"/>
    <w:rsid w:val="009E30E3"/>
    <w:rsid w:val="009E6C0B"/>
    <w:rsid w:val="00A1355A"/>
    <w:rsid w:val="00AA649F"/>
    <w:rsid w:val="00AC12AD"/>
    <w:rsid w:val="00B00455"/>
    <w:rsid w:val="00B043AA"/>
    <w:rsid w:val="00B228A8"/>
    <w:rsid w:val="00B26933"/>
    <w:rsid w:val="00B87BB5"/>
    <w:rsid w:val="00B92E62"/>
    <w:rsid w:val="00B95A27"/>
    <w:rsid w:val="00BD05CC"/>
    <w:rsid w:val="00C058A7"/>
    <w:rsid w:val="00C34906"/>
    <w:rsid w:val="00C650D2"/>
    <w:rsid w:val="00C72E49"/>
    <w:rsid w:val="00C8752E"/>
    <w:rsid w:val="00CC1755"/>
    <w:rsid w:val="00CC74C1"/>
    <w:rsid w:val="00CF5079"/>
    <w:rsid w:val="00D01465"/>
    <w:rsid w:val="00D0421B"/>
    <w:rsid w:val="00D11959"/>
    <w:rsid w:val="00D178D0"/>
    <w:rsid w:val="00D41AB2"/>
    <w:rsid w:val="00D93ED7"/>
    <w:rsid w:val="00D978DD"/>
    <w:rsid w:val="00DA2357"/>
    <w:rsid w:val="00DF7F6E"/>
    <w:rsid w:val="00E01491"/>
    <w:rsid w:val="00E02238"/>
    <w:rsid w:val="00E13E1B"/>
    <w:rsid w:val="00E37285"/>
    <w:rsid w:val="00E37402"/>
    <w:rsid w:val="00E45C40"/>
    <w:rsid w:val="00EB07E9"/>
    <w:rsid w:val="00EB702E"/>
    <w:rsid w:val="00F00D27"/>
    <w:rsid w:val="00F16751"/>
    <w:rsid w:val="00F60271"/>
    <w:rsid w:val="00F76990"/>
    <w:rsid w:val="00F91510"/>
    <w:rsid w:val="00FE09CC"/>
    <w:rsid w:val="00FE3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0DA3"/>
  <w15:docId w15:val="{B448970A-4404-43DD-A6D4-22D6672E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51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536</Words>
  <Characters>3058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7</cp:revision>
  <dcterms:created xsi:type="dcterms:W3CDTF">2019-01-18T08:48:00Z</dcterms:created>
  <dcterms:modified xsi:type="dcterms:W3CDTF">2020-04-02T08:41:00Z</dcterms:modified>
</cp:coreProperties>
</file>