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15178E" w:rsidRPr="0015178E" w:rsidRDefault="0015178E" w:rsidP="0015178E">
      <w:pPr>
        <w:pStyle w:val="Heading9"/>
        <w:rPr>
          <w:rFonts w:ascii="Sylfaen" w:hAnsi="Sylfaen"/>
          <w:bCs/>
          <w:lang w:val="hy-AM"/>
        </w:rPr>
      </w:pPr>
      <w:r w:rsidRPr="0015178E">
        <w:rPr>
          <w:rFonts w:ascii="Sylfaen" w:hAnsi="Sylfaen"/>
          <w:lang w:val="af-ZA"/>
        </w:rPr>
        <w:t>TG-2.2-15.01.19-87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15178E" w:rsidRPr="0015178E">
        <w:rPr>
          <w:rFonts w:ascii="Times New Roman" w:hAnsi="Times New Roman"/>
          <w:bCs/>
          <w:szCs w:val="22"/>
          <w:lang w:val="hy-AM"/>
        </w:rPr>
        <w:t>15.01.</w:t>
      </w:r>
      <w:r w:rsidR="0015178E" w:rsidRPr="0015178E">
        <w:rPr>
          <w:rFonts w:ascii="Times New Roman" w:hAnsi="Times New Roman"/>
          <w:bCs/>
          <w:szCs w:val="22"/>
          <w:lang w:val="af-ZA"/>
        </w:rPr>
        <w:t>2019</w:t>
      </w:r>
      <w:r w:rsidR="0015178E">
        <w:rPr>
          <w:rFonts w:ascii="Times New Roman" w:hAnsi="Times New Roman"/>
          <w:bCs/>
          <w:szCs w:val="22"/>
          <w:lang w:val="af-ZA"/>
        </w:rPr>
        <w:t xml:space="preserve"> </w:t>
      </w:r>
      <w:bookmarkStart w:id="0" w:name="_GoBack"/>
      <w:bookmarkEnd w:id="0"/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15178E" w:rsidTr="005476EB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CA2680" w:rsidRDefault="003466D0" w:rsidP="00CA2680">
            <w:pPr>
              <w:spacing w:before="20" w:after="20"/>
              <w:jc w:val="center"/>
              <w:rPr>
                <w:sz w:val="22"/>
                <w:szCs w:val="22"/>
                <w:lang w:val="hy-AM" w:eastAsia="ru-RU"/>
              </w:rPr>
            </w:pPr>
            <w:hyperlink r:id="rId8" w:history="1">
              <w:r w:rsidR="00CA2680" w:rsidRPr="00CA2680">
                <w:rPr>
                  <w:sz w:val="22"/>
                  <w:szCs w:val="22"/>
                  <w:lang w:val="hy-AM" w:eastAsia="ru-RU"/>
                </w:rPr>
                <w:t>Приобретение шин для машин-механизмов</w:t>
              </w:r>
            </w:hyperlink>
          </w:p>
        </w:tc>
      </w:tr>
      <w:tr w:rsidR="004D08AA" w:rsidRPr="0015178E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CA2680" w:rsidRDefault="00C8493C" w:rsidP="00851998">
            <w:pPr>
              <w:spacing w:before="20" w:after="20"/>
              <w:rPr>
                <w:sz w:val="22"/>
                <w:szCs w:val="22"/>
                <w:lang w:val="hy-AM" w:eastAsia="ru-RU"/>
              </w:rPr>
            </w:pPr>
            <w:r w:rsidRPr="00CA2680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15178E" w:rsidTr="005476EB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150A" w:rsidRPr="00C6452E" w:rsidRDefault="00CA2680" w:rsidP="00C8493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A2680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15178E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DE1978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E1978">
              <w:rPr>
                <w:rFonts w:ascii="Sylfaen" w:hAnsi="Sylfaen"/>
                <w:sz w:val="20"/>
                <w:szCs w:val="20"/>
                <w:lang w:val="hy-AM"/>
              </w:rPr>
              <w:t>172800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Pr="00311742" w:rsidRDefault="00DE1978" w:rsidP="00DE1978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62400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120000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4։ </w:t>
            </w: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201600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148800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124800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105600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лот-8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220800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лот-9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148800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лот-10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1080000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лот-11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2688000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1440000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4E4803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1478400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504000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885600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950400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648000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лот-18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398400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лот-19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979200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лот-20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588000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лот-21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444000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DE1978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288000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672000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1080000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640800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652800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110400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лот-28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67200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DE1978" w:rsidRPr="00DE1978" w:rsidTr="005476EB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1978" w:rsidRDefault="00DE1978" w:rsidP="00DE1978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лот-29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978" w:rsidRPr="001E5EEA" w:rsidRDefault="00DE1978" w:rsidP="00DE1978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268800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F86C72" w:rsidRPr="004E4803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15178E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15178E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15178E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15178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15178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15178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15178E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15178E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3466D0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15178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0662B0" w:rsidRDefault="00DA5B03" w:rsidP="000662B0">
            <w:pPr>
              <w:rPr>
                <w:sz w:val="22"/>
                <w:szCs w:val="22"/>
                <w:lang w:val="ru-RU" w:eastAsia="ru-RU"/>
              </w:rPr>
            </w:pPr>
            <w:r w:rsidRPr="00DA5B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 w:rsidR="000662B0">
              <w:rPr>
                <w:rFonts w:ascii="Sylfaen" w:hAnsi="Sylfaen"/>
                <w:sz w:val="22"/>
                <w:szCs w:val="22"/>
                <w:lang w:val="hy-AM" w:eastAsia="ru-RU"/>
              </w:rPr>
              <w:t>31</w:t>
            </w:r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.01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C6452E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C6452E" w:rsidRPr="000662B0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6A7DA0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0662B0" w:rsidRPr="000662B0">
              <w:rPr>
                <w:rFonts w:ascii="Sylfaen" w:hAnsi="Sylfaen"/>
                <w:sz w:val="22"/>
                <w:szCs w:val="22"/>
                <w:lang w:val="hy-AM" w:eastAsia="ru-RU"/>
              </w:rPr>
              <w:t>31</w:t>
            </w:r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.01.2019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0662B0" w:rsidP="006A7DA0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0662B0">
              <w:rPr>
                <w:rFonts w:ascii="Sylfaen" w:hAnsi="Sylfaen"/>
                <w:sz w:val="22"/>
                <w:szCs w:val="22"/>
                <w:lang w:val="hy-AM" w:eastAsia="ru-RU"/>
              </w:rPr>
              <w:t>31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.01.2019г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15178E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lastRenderedPageBreak/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6D0" w:rsidRDefault="003466D0" w:rsidP="00C967E7">
      <w:r>
        <w:separator/>
      </w:r>
    </w:p>
  </w:endnote>
  <w:endnote w:type="continuationSeparator" w:id="0">
    <w:p w:rsidR="003466D0" w:rsidRDefault="003466D0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6D0" w:rsidRDefault="003466D0" w:rsidP="00C967E7">
      <w:r>
        <w:separator/>
      </w:r>
    </w:p>
  </w:footnote>
  <w:footnote w:type="continuationSeparator" w:id="0">
    <w:p w:rsidR="003466D0" w:rsidRDefault="003466D0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662B0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178E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C6C5C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66D0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3FA7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476EB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1742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2680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A5B03"/>
    <w:rsid w:val="00DB472E"/>
    <w:rsid w:val="00DB5E95"/>
    <w:rsid w:val="00DC1B56"/>
    <w:rsid w:val="00DC3DC0"/>
    <w:rsid w:val="00DC4B3A"/>
    <w:rsid w:val="00DC662D"/>
    <w:rsid w:val="00DC7896"/>
    <w:rsid w:val="00DD4493"/>
    <w:rsid w:val="00DE1978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E5342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newwindow=1&amp;q=%D0%9F%D1%80%D0%B8%D0%BE%D0%B1%D1%80%D0%B5%D1%82%D0%B5%D0%BD%D0%B8%D0%B5+%D0%BA%D0%B0%D0%BB%D1%8C%D1%86%D0%B8%D0%B9+%D0%BA%D0%B0%D1%80%D0%B1%D0%B8%D0%B4&amp;spell=1&amp;sa=X&amp;ved=0ahUKEwj6tKynlqzXAhUEmrQKHSc1AHkQvwUIIi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5E218-BBCB-40D5-84FE-DDFB9A61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134</cp:revision>
  <cp:lastPrinted>2014-12-29T11:02:00Z</cp:lastPrinted>
  <dcterms:created xsi:type="dcterms:W3CDTF">2017-01-30T05:54:00Z</dcterms:created>
  <dcterms:modified xsi:type="dcterms:W3CDTF">2019-01-15T13:39:00Z</dcterms:modified>
</cp:coreProperties>
</file>