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64" w:rsidRPr="00940211" w:rsidRDefault="00FB2764" w:rsidP="00940211">
      <w:pPr>
        <w:spacing w:before="0" w:after="0"/>
        <w:ind w:left="0" w:firstLine="0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bookmarkEnd w:id="0"/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5380">
        <w:rPr>
          <w:rFonts w:ascii="Sylfaen" w:hAnsi="Sylfaen" w:cs="Sylfaen"/>
          <w:bCs/>
          <w:sz w:val="20"/>
          <w:szCs w:val="20"/>
          <w:lang w:val="hy-AM"/>
        </w:rPr>
        <w:t xml:space="preserve">ապրանքների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>
        <w:rPr>
          <w:rFonts w:ascii="Sylfaen" w:hAnsi="Sylfaen" w:cs="Sylfaen"/>
          <w:bCs/>
          <w:sz w:val="20"/>
          <w:szCs w:val="20"/>
          <w:lang w:val="hy-AM"/>
        </w:rPr>
        <w:t>-25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C245D1">
        <w:rPr>
          <w:rFonts w:ascii="Sylfaen" w:hAnsi="Sylfaen" w:cs="Sylfaen"/>
          <w:bCs/>
          <w:sz w:val="20"/>
          <w:szCs w:val="20"/>
          <w:lang w:val="hy-AM"/>
        </w:rPr>
        <w:t>2</w:t>
      </w:r>
      <w:r w:rsidR="004F4909">
        <w:rPr>
          <w:rFonts w:ascii="Sylfaen" w:hAnsi="Sylfaen" w:cs="Sylfaen"/>
          <w:bCs/>
          <w:sz w:val="20"/>
          <w:szCs w:val="20"/>
          <w:lang w:val="hy-AM"/>
        </w:rPr>
        <w:t>8</w:t>
      </w:r>
      <w:r w:rsidR="00670FC8">
        <w:rPr>
          <w:rFonts w:ascii="Sylfaen" w:hAnsi="Sylfaen" w:cs="Sylfaen"/>
          <w:bCs/>
          <w:sz w:val="20"/>
          <w:szCs w:val="20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0211" w:rsidRPr="00670FC8" w:rsidRDefault="005F2657" w:rsidP="0073518F">
            <w:pPr>
              <w:pStyle w:val="ac"/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t>Կտոր</w:t>
            </w:r>
            <w:proofErr w:type="spellEnd"/>
            <w:r>
              <w:t xml:space="preserve"> </w:t>
            </w:r>
            <w:proofErr w:type="spellStart"/>
            <w:r>
              <w:t>կանվ</w:t>
            </w:r>
            <w:proofErr w:type="spellEnd"/>
            <w:r>
              <w:t xml:space="preserve"> ա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5F2657" w:rsidRDefault="005F2657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մետր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940211" w:rsidRDefault="00940211" w:rsidP="00940211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940211" w:rsidRPr="00B01B33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Default="00940211" w:rsidP="00940211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940211" w:rsidRPr="0052067A" w:rsidRDefault="005F2657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73518F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3518F" w:rsidRPr="0073518F" w:rsidRDefault="0073518F" w:rsidP="007351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518F" w:rsidRPr="0073518F" w:rsidRDefault="005F2657" w:rsidP="0073518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</w:pPr>
            <w:proofErr w:type="spellStart"/>
            <w:r>
              <w:t>Օղակ</w:t>
            </w:r>
            <w:proofErr w:type="spellEnd"/>
            <w:r>
              <w:t xml:space="preserve"> </w:t>
            </w:r>
            <w:proofErr w:type="spellStart"/>
            <w:r>
              <w:t>ասեղ</w:t>
            </w:r>
            <w:proofErr w:type="spellEnd"/>
            <w:r>
              <w:t xml:space="preserve"> </w:t>
            </w:r>
            <w:proofErr w:type="spellStart"/>
            <w:r>
              <w:t>նագործակ</w:t>
            </w:r>
            <w:proofErr w:type="spellEnd"/>
            <w:r>
              <w:t xml:space="preserve"> </w:t>
            </w:r>
            <w:proofErr w:type="spellStart"/>
            <w:r>
              <w:t>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18F" w:rsidRPr="00670FC8" w:rsidRDefault="0073518F" w:rsidP="007351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73518F" w:rsidRDefault="0073518F" w:rsidP="0073518F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73518F" w:rsidRPr="00B01B33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518F" w:rsidRDefault="0073518F" w:rsidP="0073518F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73518F" w:rsidRPr="0052067A" w:rsidRDefault="005F2657" w:rsidP="0073518F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3518F" w:rsidRPr="006A65D1" w:rsidRDefault="0073518F" w:rsidP="0073518F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3518F" w:rsidRPr="006A65D1" w:rsidRDefault="0073518F" w:rsidP="0073518F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73518F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B1788F">
              <w:t>Թել</w:t>
            </w:r>
            <w:proofErr w:type="spellEnd"/>
            <w:r w:rsidRPr="00B1788F">
              <w:t xml:space="preserve"> </w:t>
            </w:r>
            <w:proofErr w:type="spellStart"/>
            <w:r w:rsidRPr="00B1788F">
              <w:t>սինթե</w:t>
            </w:r>
            <w:proofErr w:type="spellEnd"/>
            <w:r w:rsidRPr="00B1788F">
              <w:t xml:space="preserve"> </w:t>
            </w:r>
            <w:proofErr w:type="spellStart"/>
            <w:r w:rsidRPr="00B1788F">
              <w:t>տիկ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657" w:rsidRPr="00670FC8" w:rsidRDefault="005F2657" w:rsidP="005F26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Default="005F2657" w:rsidP="005F2657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5F2657" w:rsidRPr="00B01B33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Pr="0052067A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B1788F">
              <w:t>Թել</w:t>
            </w:r>
            <w:proofErr w:type="spellEnd"/>
            <w:r w:rsidRPr="00B1788F">
              <w:t xml:space="preserve"> </w:t>
            </w:r>
            <w:proofErr w:type="spellStart"/>
            <w:r w:rsidRPr="00B1788F">
              <w:t>սինթե</w:t>
            </w:r>
            <w:proofErr w:type="spellEnd"/>
            <w:r w:rsidRPr="00B1788F">
              <w:t xml:space="preserve"> </w:t>
            </w:r>
            <w:proofErr w:type="spellStart"/>
            <w:r w:rsidRPr="00B1788F">
              <w:t>տիկ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657" w:rsidRPr="00670FC8" w:rsidRDefault="005F2657" w:rsidP="005F26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Default="005F2657" w:rsidP="005F2657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5F2657" w:rsidRPr="00B01B33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Pr="0052067A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0F7DA1">
              <w:t>Թել</w:t>
            </w:r>
            <w:proofErr w:type="spellEnd"/>
            <w:r w:rsidRPr="000F7DA1">
              <w:t xml:space="preserve"> </w:t>
            </w:r>
            <w:proofErr w:type="spellStart"/>
            <w:r w:rsidRPr="000F7DA1">
              <w:t>բամբա</w:t>
            </w:r>
            <w:proofErr w:type="spellEnd"/>
            <w:r w:rsidRPr="000F7DA1">
              <w:t xml:space="preserve"> 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657" w:rsidRPr="00670FC8" w:rsidRDefault="005F2657" w:rsidP="005F26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Default="005F2657" w:rsidP="005F2657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5F2657" w:rsidRPr="00B01B33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Pr="0052067A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10400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0F7DA1">
              <w:t>Թել</w:t>
            </w:r>
            <w:proofErr w:type="spellEnd"/>
            <w:r w:rsidRPr="000F7DA1">
              <w:t xml:space="preserve"> </w:t>
            </w:r>
            <w:proofErr w:type="spellStart"/>
            <w:r w:rsidRPr="000F7DA1">
              <w:t>բամբա</w:t>
            </w:r>
            <w:proofErr w:type="spellEnd"/>
            <w:r w:rsidRPr="000F7DA1">
              <w:t xml:space="preserve"> 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657" w:rsidRPr="00670FC8" w:rsidRDefault="005F2657" w:rsidP="005F26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Default="005F2657" w:rsidP="005F2657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5F2657" w:rsidRPr="00B01B33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Pr="0052067A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0F7DA1">
              <w:t>Թել</w:t>
            </w:r>
            <w:proofErr w:type="spellEnd"/>
            <w:r w:rsidRPr="000F7DA1">
              <w:t xml:space="preserve"> </w:t>
            </w:r>
            <w:proofErr w:type="spellStart"/>
            <w:r w:rsidRPr="000F7DA1">
              <w:t>բամբա</w:t>
            </w:r>
            <w:proofErr w:type="spellEnd"/>
            <w:r w:rsidRPr="000F7DA1">
              <w:t xml:space="preserve"> 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Pr="0073518F" w:rsidRDefault="005F2657" w:rsidP="005F265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</w:pPr>
            <w:proofErr w:type="spellStart"/>
            <w:r>
              <w:t>Թաղիքի</w:t>
            </w:r>
            <w:proofErr w:type="spellEnd"/>
            <w:r>
              <w:t xml:space="preserve"> </w:t>
            </w:r>
            <w:proofErr w:type="spellStart"/>
            <w:r>
              <w:t>բո</w:t>
            </w:r>
            <w:proofErr w:type="spellEnd"/>
            <w:r>
              <w:t xml:space="preserve"> </w:t>
            </w:r>
            <w:proofErr w:type="spellStart"/>
            <w:r>
              <w:t>ւրդ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9600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9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B91575">
              <w:t>Պայուսակի</w:t>
            </w:r>
            <w:proofErr w:type="spellEnd"/>
            <w:r w:rsidRPr="00B91575">
              <w:t xml:space="preserve"> </w:t>
            </w:r>
            <w:proofErr w:type="spellStart"/>
            <w:r w:rsidRPr="00B91575">
              <w:t>կանվա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B91575">
              <w:t>Պայուսակի</w:t>
            </w:r>
            <w:proofErr w:type="spellEnd"/>
            <w:r w:rsidRPr="00B91575">
              <w:t xml:space="preserve"> </w:t>
            </w:r>
            <w:proofErr w:type="spellStart"/>
            <w:r w:rsidRPr="00B91575">
              <w:t>կանվա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Default="005F2657" w:rsidP="005F2657">
            <w:proofErr w:type="spellStart"/>
            <w:r w:rsidRPr="00B91575">
              <w:t>Պայուսակի</w:t>
            </w:r>
            <w:proofErr w:type="spellEnd"/>
            <w:r w:rsidRPr="00B91575">
              <w:t xml:space="preserve"> </w:t>
            </w:r>
            <w:proofErr w:type="spellStart"/>
            <w:r w:rsidRPr="00B91575">
              <w:t>կանվա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Pr="0073518F" w:rsidRDefault="005F2657" w:rsidP="005F265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</w:pPr>
            <w:proofErr w:type="spellStart"/>
            <w:r>
              <w:t>Մետաղակ</w:t>
            </w:r>
            <w:proofErr w:type="spellEnd"/>
            <w:r>
              <w:t xml:space="preserve"> </w:t>
            </w:r>
            <w:proofErr w:type="spellStart"/>
            <w:r>
              <w:t>ան</w:t>
            </w:r>
            <w:proofErr w:type="spellEnd"/>
            <w:r>
              <w:t xml:space="preserve"> </w:t>
            </w:r>
            <w:proofErr w:type="spellStart"/>
            <w:r>
              <w:t>շղթա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Pr="0073518F" w:rsidRDefault="005F2657" w:rsidP="005F265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</w:pPr>
            <w:proofErr w:type="spellStart"/>
            <w:r>
              <w:t>Ասեղ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Pr="0073518F" w:rsidRDefault="005F2657" w:rsidP="005F265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</w:pPr>
            <w:proofErr w:type="spellStart"/>
            <w:r>
              <w:t>Պայուսակի</w:t>
            </w:r>
            <w:proofErr w:type="spellEnd"/>
            <w:r>
              <w:t xml:space="preserve"> </w:t>
            </w:r>
            <w:proofErr w:type="spellStart"/>
            <w:r>
              <w:t>թել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5F2657" w:rsidRPr="00B01B33" w:rsidTr="008B7E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F2657" w:rsidRPr="005F2657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2657" w:rsidRPr="0073518F" w:rsidRDefault="005F2657" w:rsidP="005F265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</w:pPr>
            <w:proofErr w:type="spellStart"/>
            <w:r>
              <w:t>Փական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24100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5F2657" w:rsidRPr="00A718C8" w:rsidRDefault="005F2657" w:rsidP="005F2657">
            <w:r w:rsidRPr="00A718C8">
              <w:t>-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5F2657" w:rsidRPr="005F2657" w:rsidRDefault="005F2657" w:rsidP="005F2657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657" w:rsidRDefault="005F2657" w:rsidP="005F2657">
            <w:r w:rsidRPr="00A718C8"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5F2657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F2657" w:rsidRPr="006A65D1" w:rsidRDefault="005F2657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940211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940211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0211" w:rsidRPr="00607E33" w:rsidRDefault="005F2657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70FC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94021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9402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607E33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40211" w:rsidRPr="00A81CC9" w:rsidTr="00B01B3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40211" w:rsidRPr="00A81CC9" w:rsidTr="005E60C8">
        <w:trPr>
          <w:trHeight w:val="439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73518F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5F265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-15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5F2657" w:rsidRDefault="0073518F" w:rsidP="009402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5F2657">
              <w:rPr>
                <w:rFonts w:ascii="NotoSans-Regular" w:eastAsiaTheme="minorHAnsi" w:hAnsi="NotoSans-Regular" w:cs="NotoSans-Regular"/>
                <w:sz w:val="18"/>
                <w:szCs w:val="18"/>
                <w:lang w:val="ru-RU"/>
              </w:rPr>
              <w:t>«</w:t>
            </w:r>
            <w:r w:rsidR="005F2657" w:rsidRPr="005F2657">
              <w:rPr>
                <w:sz w:val="18"/>
                <w:szCs w:val="18"/>
              </w:rPr>
              <w:t xml:space="preserve">ՀՈՐԱՔՈՒՅՐ </w:t>
            </w:r>
            <w:proofErr w:type="gramStart"/>
            <w:r w:rsidR="005F2657" w:rsidRPr="005F2657">
              <w:rPr>
                <w:sz w:val="18"/>
                <w:szCs w:val="18"/>
              </w:rPr>
              <w:t>ՍՈՒՍԱՆՆԱ</w:t>
            </w:r>
            <w:r w:rsidRPr="005F2657">
              <w:rPr>
                <w:rFonts w:ascii="DejaVuSerifCondensed" w:eastAsiaTheme="minorHAnsi" w:hAnsi="DejaVuSerifCondensed" w:cs="DejaVuSerifCondensed"/>
                <w:sz w:val="18"/>
                <w:szCs w:val="18"/>
                <w:lang w:val="ru-RU"/>
              </w:rPr>
              <w:t>»</w:t>
            </w:r>
            <w:r w:rsidR="00940211" w:rsidRPr="005F2657">
              <w:rPr>
                <w:rFonts w:ascii="GHEA Grapalat" w:eastAsia="Times New Roman" w:hAnsi="GHEA Grapalat" w:cs="Arial"/>
                <w:sz w:val="18"/>
                <w:szCs w:val="18"/>
                <w:lang w:val="es-ES" w:eastAsia="ru-RU"/>
              </w:rPr>
              <w:t xml:space="preserve"> </w:t>
            </w:r>
            <w:r w:rsidR="00940211" w:rsidRPr="005F2657">
              <w:rPr>
                <w:rFonts w:eastAsia="Times New Roman" w:cs="Arial"/>
                <w:sz w:val="18"/>
                <w:szCs w:val="18"/>
                <w:lang w:val="hy-AM" w:eastAsia="ru-RU"/>
              </w:rPr>
              <w:t xml:space="preserve"> </w:t>
            </w:r>
            <w:r w:rsidRPr="005F2657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ՍՊԸ</w:t>
            </w:r>
            <w:proofErr w:type="gramEnd"/>
          </w:p>
          <w:p w:rsidR="00940211" w:rsidRPr="009820D5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5F2657" w:rsidRDefault="005F2657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5F2657" w:rsidRDefault="005F2657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C245D1" w:rsidRDefault="005F2657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t>80,450</w:t>
            </w:r>
          </w:p>
        </w:tc>
      </w:tr>
      <w:tr w:rsidR="00940211" w:rsidRPr="00A81CC9" w:rsidTr="00B01B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40211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40211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40211" w:rsidRPr="00A81CC9" w:rsidTr="005E60C8">
        <w:trPr>
          <w:trHeight w:val="169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40211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5F2657" w:rsidP="00670FC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70FC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9402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40211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40211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940211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40211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40211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40211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40211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940211" w:rsidRPr="00346331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40211" w:rsidRPr="00E73BAA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940211" w:rsidRPr="00E73BAA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40211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40211" w:rsidRPr="00A81CC9" w:rsidTr="00B01B3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4F450D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5F265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-15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F2657" w:rsidRPr="005F2657" w:rsidRDefault="005F2657" w:rsidP="005F26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5F2657">
              <w:rPr>
                <w:rFonts w:ascii="NotoSans-Regular" w:eastAsiaTheme="minorHAnsi" w:hAnsi="NotoSans-Regular" w:cs="NotoSans-Regular"/>
                <w:sz w:val="18"/>
                <w:szCs w:val="18"/>
                <w:lang w:val="ru-RU"/>
              </w:rPr>
              <w:t>«</w:t>
            </w:r>
            <w:r w:rsidRPr="005F2657">
              <w:rPr>
                <w:sz w:val="18"/>
                <w:szCs w:val="18"/>
              </w:rPr>
              <w:t xml:space="preserve">ՀՈՐԱՔՈՒՅՐ </w:t>
            </w:r>
            <w:proofErr w:type="gramStart"/>
            <w:r w:rsidRPr="005F2657">
              <w:rPr>
                <w:sz w:val="18"/>
                <w:szCs w:val="18"/>
              </w:rPr>
              <w:t>ՍՈՒՍԱՆՆԱ</w:t>
            </w:r>
            <w:r w:rsidRPr="005F2657">
              <w:rPr>
                <w:rFonts w:ascii="DejaVuSerifCondensed" w:eastAsiaTheme="minorHAnsi" w:hAnsi="DejaVuSerifCondensed" w:cs="DejaVuSerifCondensed"/>
                <w:sz w:val="18"/>
                <w:szCs w:val="18"/>
                <w:lang w:val="ru-RU"/>
              </w:rPr>
              <w:t>»</w:t>
            </w:r>
            <w:r w:rsidRPr="005F2657">
              <w:rPr>
                <w:rFonts w:ascii="GHEA Grapalat" w:eastAsia="Times New Roman" w:hAnsi="GHEA Grapalat" w:cs="Arial"/>
                <w:sz w:val="18"/>
                <w:szCs w:val="18"/>
                <w:lang w:val="es-ES" w:eastAsia="ru-RU"/>
              </w:rPr>
              <w:t xml:space="preserve"> </w:t>
            </w:r>
            <w:r w:rsidRPr="005F2657">
              <w:rPr>
                <w:rFonts w:eastAsia="Times New Roman" w:cs="Arial"/>
                <w:sz w:val="18"/>
                <w:szCs w:val="18"/>
                <w:lang w:val="hy-AM" w:eastAsia="ru-RU"/>
              </w:rPr>
              <w:t xml:space="preserve"> </w:t>
            </w:r>
            <w:r w:rsidRPr="005F2657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ՍՊԸ</w:t>
            </w:r>
            <w:proofErr w:type="gramEnd"/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73518F" w:rsidRDefault="005F2657" w:rsidP="0094021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20"/>
                <w:szCs w:val="20"/>
                <w:lang w:val="hy-AM"/>
              </w:rPr>
            </w:pPr>
            <w:r>
              <w:t xml:space="preserve">ԵՐԵՎԱՆ </w:t>
            </w:r>
            <w:proofErr w:type="spellStart"/>
            <w:r>
              <w:t>Նոր-Նորքի</w:t>
            </w:r>
            <w:proofErr w:type="spellEnd"/>
            <w:r>
              <w:t xml:space="preserve"> 8 </w:t>
            </w:r>
            <w:proofErr w:type="spellStart"/>
            <w:r>
              <w:t>զանգ</w:t>
            </w:r>
            <w:proofErr w:type="spellEnd"/>
            <w:r>
              <w:t xml:space="preserve"> 7 31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5F2657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t>22313004233400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5F2657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t>0 2 2 4 0 1 3 7</w:t>
            </w:r>
          </w:p>
        </w:tc>
      </w:tr>
      <w:tr w:rsidR="00940211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gnumner.am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4F490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940211" w:rsidRPr="004F4909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4F490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940211" w:rsidRPr="004F490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0211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40211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2C29D5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F4" w:rsidRDefault="000A18F4" w:rsidP="0022631D">
      <w:pPr>
        <w:spacing w:before="0" w:after="0"/>
      </w:pPr>
      <w:r>
        <w:separator/>
      </w:r>
    </w:p>
  </w:endnote>
  <w:endnote w:type="continuationSeparator" w:id="0">
    <w:p w:rsidR="000A18F4" w:rsidRDefault="000A18F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F4" w:rsidRDefault="000A18F4" w:rsidP="0022631D">
      <w:pPr>
        <w:spacing w:before="0" w:after="0"/>
      </w:pPr>
      <w:r>
        <w:separator/>
      </w:r>
    </w:p>
  </w:footnote>
  <w:footnote w:type="continuationSeparator" w:id="0">
    <w:p w:rsidR="000A18F4" w:rsidRDefault="000A18F4" w:rsidP="0022631D">
      <w:pPr>
        <w:spacing w:before="0" w:after="0"/>
      </w:pPr>
      <w:r>
        <w:continuationSeparator/>
      </w:r>
    </w:p>
  </w:footnote>
  <w:footnote w:id="1">
    <w:p w:rsidR="00FE1AA0" w:rsidRPr="00F65380" w:rsidRDefault="00FE1AA0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65380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0211" w:rsidRPr="002D0BF6" w:rsidRDefault="009402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40211" w:rsidRPr="002D0BF6" w:rsidRDefault="009402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0211" w:rsidRPr="00871366" w:rsidRDefault="009402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0211" w:rsidRPr="002D0BF6" w:rsidRDefault="0094021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0211" w:rsidRPr="0078682E" w:rsidRDefault="009402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40211" w:rsidRPr="0078682E" w:rsidRDefault="0094021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40211" w:rsidRPr="00005B9C" w:rsidRDefault="0094021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A3F"/>
    <w:rsid w:val="00044EA8"/>
    <w:rsid w:val="00046CCF"/>
    <w:rsid w:val="00051ECE"/>
    <w:rsid w:val="0007090E"/>
    <w:rsid w:val="00073D66"/>
    <w:rsid w:val="000A18F4"/>
    <w:rsid w:val="000B0199"/>
    <w:rsid w:val="000E4FF1"/>
    <w:rsid w:val="000F376D"/>
    <w:rsid w:val="001021B0"/>
    <w:rsid w:val="0012143A"/>
    <w:rsid w:val="00172972"/>
    <w:rsid w:val="0018422F"/>
    <w:rsid w:val="001A1999"/>
    <w:rsid w:val="001C1BE1"/>
    <w:rsid w:val="001E0091"/>
    <w:rsid w:val="0021652B"/>
    <w:rsid w:val="0022631D"/>
    <w:rsid w:val="002311D2"/>
    <w:rsid w:val="00295B92"/>
    <w:rsid w:val="002C29D5"/>
    <w:rsid w:val="002E4E6F"/>
    <w:rsid w:val="002F16CC"/>
    <w:rsid w:val="002F1FEB"/>
    <w:rsid w:val="003406CB"/>
    <w:rsid w:val="00346331"/>
    <w:rsid w:val="003475F8"/>
    <w:rsid w:val="00371B1D"/>
    <w:rsid w:val="00383083"/>
    <w:rsid w:val="00385E41"/>
    <w:rsid w:val="003B2758"/>
    <w:rsid w:val="003E0DCA"/>
    <w:rsid w:val="003E3D40"/>
    <w:rsid w:val="003E6978"/>
    <w:rsid w:val="00433E3C"/>
    <w:rsid w:val="00472069"/>
    <w:rsid w:val="00474C2F"/>
    <w:rsid w:val="004764CD"/>
    <w:rsid w:val="004875E0"/>
    <w:rsid w:val="004B7BB6"/>
    <w:rsid w:val="004D078F"/>
    <w:rsid w:val="004E376E"/>
    <w:rsid w:val="004E7550"/>
    <w:rsid w:val="004F450D"/>
    <w:rsid w:val="004F4909"/>
    <w:rsid w:val="00503BCC"/>
    <w:rsid w:val="00546023"/>
    <w:rsid w:val="005733F5"/>
    <w:rsid w:val="005737F9"/>
    <w:rsid w:val="005966AD"/>
    <w:rsid w:val="005D5FBD"/>
    <w:rsid w:val="005E60C8"/>
    <w:rsid w:val="005F2657"/>
    <w:rsid w:val="00607C9A"/>
    <w:rsid w:val="00607E33"/>
    <w:rsid w:val="00646760"/>
    <w:rsid w:val="0066251B"/>
    <w:rsid w:val="00670FC8"/>
    <w:rsid w:val="00686F11"/>
    <w:rsid w:val="00690ECB"/>
    <w:rsid w:val="006A38B4"/>
    <w:rsid w:val="006B2E21"/>
    <w:rsid w:val="006B6F30"/>
    <w:rsid w:val="006C0266"/>
    <w:rsid w:val="006E0D92"/>
    <w:rsid w:val="006E1A83"/>
    <w:rsid w:val="006F2779"/>
    <w:rsid w:val="007060FC"/>
    <w:rsid w:val="0073518F"/>
    <w:rsid w:val="00742BDA"/>
    <w:rsid w:val="00770463"/>
    <w:rsid w:val="007732E7"/>
    <w:rsid w:val="0078682E"/>
    <w:rsid w:val="0081420B"/>
    <w:rsid w:val="00817777"/>
    <w:rsid w:val="008A7224"/>
    <w:rsid w:val="008C4E62"/>
    <w:rsid w:val="008C7D47"/>
    <w:rsid w:val="008E493A"/>
    <w:rsid w:val="00940211"/>
    <w:rsid w:val="0095792C"/>
    <w:rsid w:val="009820D5"/>
    <w:rsid w:val="009C5E0F"/>
    <w:rsid w:val="009E75FF"/>
    <w:rsid w:val="00A20545"/>
    <w:rsid w:val="00A306F5"/>
    <w:rsid w:val="00A31820"/>
    <w:rsid w:val="00A34FB3"/>
    <w:rsid w:val="00A560FC"/>
    <w:rsid w:val="00A81CC9"/>
    <w:rsid w:val="00AA32E4"/>
    <w:rsid w:val="00AC289D"/>
    <w:rsid w:val="00AD07B9"/>
    <w:rsid w:val="00AD59DC"/>
    <w:rsid w:val="00B01B33"/>
    <w:rsid w:val="00B75762"/>
    <w:rsid w:val="00B805DC"/>
    <w:rsid w:val="00B86D56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040B8"/>
    <w:rsid w:val="00C245D1"/>
    <w:rsid w:val="00C2463C"/>
    <w:rsid w:val="00C410B5"/>
    <w:rsid w:val="00C71CFE"/>
    <w:rsid w:val="00C72834"/>
    <w:rsid w:val="00C84DF7"/>
    <w:rsid w:val="00C91E1D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D2C1D"/>
    <w:rsid w:val="00DE06F1"/>
    <w:rsid w:val="00DE7D4E"/>
    <w:rsid w:val="00E243EA"/>
    <w:rsid w:val="00E33A25"/>
    <w:rsid w:val="00E4188B"/>
    <w:rsid w:val="00E54C4D"/>
    <w:rsid w:val="00E56328"/>
    <w:rsid w:val="00E73BAA"/>
    <w:rsid w:val="00EA01A2"/>
    <w:rsid w:val="00EA568C"/>
    <w:rsid w:val="00EA767F"/>
    <w:rsid w:val="00EB59EE"/>
    <w:rsid w:val="00EE3AE4"/>
    <w:rsid w:val="00EF16D0"/>
    <w:rsid w:val="00F10AFE"/>
    <w:rsid w:val="00F31004"/>
    <w:rsid w:val="00F431E7"/>
    <w:rsid w:val="00F64167"/>
    <w:rsid w:val="00F65380"/>
    <w:rsid w:val="00F6673B"/>
    <w:rsid w:val="00F70F22"/>
    <w:rsid w:val="00F77AAD"/>
    <w:rsid w:val="00F916C4"/>
    <w:rsid w:val="00FB097B"/>
    <w:rsid w:val="00FB2764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1741"/>
  <w15:docId w15:val="{1803E272-10D7-438B-BA90-13B7F6A0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F3CB-D5B4-483A-A108-F94EF80C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17</cp:revision>
  <cp:lastPrinted>2021-04-06T07:47:00Z</cp:lastPrinted>
  <dcterms:created xsi:type="dcterms:W3CDTF">2021-06-28T12:08:00Z</dcterms:created>
  <dcterms:modified xsi:type="dcterms:W3CDTF">2025-10-23T11:57:00Z</dcterms:modified>
</cp:coreProperties>
</file>