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0FE2CCF" w:rsidR="0022631D" w:rsidRPr="0022631D" w:rsidRDefault="00B665B9" w:rsidP="00E4629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665B9">
        <w:rPr>
          <w:rFonts w:ascii="Sylfaen" w:hAnsi="Sylfaen"/>
          <w:sz w:val="20"/>
          <w:szCs w:val="20"/>
          <w:lang w:val="af-ZA"/>
        </w:rPr>
        <w:t>«Երևանի պետական համալսարան» Հիմադրամ</w:t>
      </w:r>
      <w:r w:rsidRPr="00B665B9">
        <w:rPr>
          <w:rFonts w:ascii="Sylfaen" w:hAnsi="Sylfaen"/>
          <w:sz w:val="20"/>
          <w:szCs w:val="20"/>
          <w:lang w:val="hy-AM"/>
        </w:rPr>
        <w:t xml:space="preserve"> Իջևանի մասնաճյուղը</w:t>
      </w:r>
      <w:r w:rsidRPr="00B665B9">
        <w:rPr>
          <w:rFonts w:ascii="Sylfaen" w:hAnsi="Sylfaen"/>
          <w:sz w:val="20"/>
          <w:szCs w:val="20"/>
          <w:lang w:val="af-ZA"/>
        </w:rPr>
        <w:t xml:space="preserve">, որը գտնվում է ք. </w:t>
      </w:r>
      <w:r w:rsidRPr="00B665B9">
        <w:rPr>
          <w:rFonts w:ascii="Sylfaen" w:hAnsi="Sylfaen"/>
          <w:sz w:val="20"/>
          <w:szCs w:val="20"/>
          <w:lang w:val="hy-AM"/>
        </w:rPr>
        <w:t>Իջևան, Ուսանողական 3</w:t>
      </w:r>
      <w:r w:rsidRPr="00B665B9">
        <w:rPr>
          <w:rFonts w:ascii="Sylfaen" w:hAnsi="Sylfaen"/>
          <w:sz w:val="20"/>
          <w:szCs w:val="20"/>
          <w:lang w:val="af-ZA"/>
        </w:rPr>
        <w:t>,</w:t>
      </w:r>
      <w:r w:rsidRPr="00B665B9">
        <w:rPr>
          <w:rFonts w:ascii="Sylfaen" w:hAnsi="Sylfaen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4629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/>
          <w:sz w:val="20"/>
          <w:szCs w:val="20"/>
          <w:lang w:val="hy-AM"/>
        </w:rPr>
        <w:t>էլեկտրաէներգիայի մատակարարման ծառայության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էլեկտրաէներգիայի մատակարարման ծառայության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sz w:val="20"/>
          <w:szCs w:val="20"/>
          <w:lang w:val="hy-AM"/>
        </w:rPr>
        <w:t>ԵՊՀ ԻՄ-ԳՀՄԾՁԲ-26/1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8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361"/>
        <w:gridCol w:w="841"/>
        <w:gridCol w:w="29"/>
        <w:gridCol w:w="428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E5070B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2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5070B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5070B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5070B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9733C" w14:paraId="6CB0AC86" w14:textId="77777777" w:rsidTr="00E5070B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44EF468" w:rsidR="0022631D" w:rsidRPr="0022631D" w:rsidRDefault="00B665B9" w:rsidP="00B665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ծառայությ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wun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4032C7F" w:rsidR="0022631D" w:rsidRPr="00B665B9" w:rsidRDefault="00B665B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կվտ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E5986CF" w:rsidR="0022631D" w:rsidRPr="00B665B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B959880" w:rsidR="0022631D" w:rsidRPr="0022631D" w:rsidRDefault="00B665B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65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BEBF513" w:rsidR="0022631D" w:rsidRPr="00B665B9" w:rsidRDefault="00B665B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58C40" w14:textId="77777777" w:rsidR="00B665B9" w:rsidRPr="00E4629C" w:rsidRDefault="00B665B9" w:rsidP="00B665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Էլեկտրաէներգիայի մատակարարում      ԵՊՀ ԻՄ մասնաշենքում՝ </w:t>
            </w:r>
          </w:p>
          <w:p w14:paraId="5B7240B9" w14:textId="77777777" w:rsidR="00B665B9" w:rsidRPr="00E4629C" w:rsidRDefault="00B665B9" w:rsidP="00B665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>1</w:t>
            </w:r>
            <w:r w:rsidRPr="00E4629C">
              <w:rPr>
                <w:rFonts w:ascii="Cambria Math" w:eastAsia="Times New Roman" w:hAnsi="Cambria Math" w:cs="Cambria Math"/>
                <w:b/>
                <w:bCs/>
                <w:i/>
                <w:iCs/>
                <w:sz w:val="14"/>
                <w:szCs w:val="14"/>
                <w:lang w:val="hy-AM"/>
              </w:rPr>
              <w:t>․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Տրանսֆորմատորի ենթակայան 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N  1502  , հաշվիչ՝ 6812</w:t>
            </w:r>
          </w:p>
          <w:p w14:paraId="4929F25E" w14:textId="77777777" w:rsidR="00B665B9" w:rsidRPr="00E4629C" w:rsidRDefault="00B665B9" w:rsidP="00B665B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>2</w:t>
            </w:r>
            <w:r w:rsidRPr="00E4629C">
              <w:rPr>
                <w:rFonts w:ascii="Cambria Math" w:eastAsia="Times New Roman" w:hAnsi="Cambria Math" w:cs="Cambria Math"/>
                <w:b/>
                <w:bCs/>
                <w:i/>
                <w:iCs/>
                <w:sz w:val="14"/>
                <w:szCs w:val="14"/>
                <w:lang w:val="hy-AM"/>
              </w:rPr>
              <w:t>․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>Տրանսֆորմատորի ենթակայան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N  1501  , հաշվիչ՝ 20130174674, 06287336   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br/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 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ԵՊՀ ԻՄ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մասնաշենքերի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կարիքների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համար ցածր լարմամբ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էլեկտրաէներգիայի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մատակարարում՝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համաձայն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ՀՀ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հանրային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ծառայությունները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կարգավորող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հանձնաժողովի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25</w:t>
            </w:r>
            <w:r w:rsidRPr="00E4629C">
              <w:rPr>
                <w:rFonts w:ascii="Cambria Math" w:eastAsia="Times New Roman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12</w:t>
            </w:r>
            <w:r w:rsidRPr="00E4629C">
              <w:rPr>
                <w:rFonts w:ascii="Cambria Math" w:eastAsia="Times New Roman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2019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թ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թիվ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517-Ն որոշմամբ հաստատված ՀՀ </w:t>
            </w:r>
            <w:r w:rsidRPr="00E4629C">
              <w:rPr>
                <w:rFonts w:ascii="GHEA Grapalat" w:eastAsia="Times New Roman" w:hAnsi="GHEA Grapalat"/>
                <w:b/>
                <w:bCs/>
                <w:iCs/>
                <w:sz w:val="14"/>
                <w:szCs w:val="14"/>
                <w:lang w:val="hy-AM"/>
              </w:rPr>
              <w:t>էլեկտրաէներգետիկական մանրածախ շուկայի առևտրային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կանոնների ( այսուհետ՝ ԷՄԱ կանոններ), և ոլորտը կարգավորող այլ իրավական դրույթների։    Հաշվարկային ամսվա ընթացքում մատակարարված էլեկտրական էներգիայի քանակությունը որոշվում է ԷՄԱ կանոններով սահմանված կարգով։ Նախորդ ամսվա ընթացքում սպառած էլեկտրական էներգիայի դիմաց վճարումը կատարվելու է հաշվարկային փաստաթուղթ ներկայացնելու դեպքում 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lastRenderedPageBreak/>
              <w:t xml:space="preserve">ոչ ուշ քան հաջորդ ամսվա 25-ը։ </w:t>
            </w:r>
          </w:p>
          <w:p w14:paraId="6943CEF9" w14:textId="77777777" w:rsidR="00B665B9" w:rsidRPr="00E4629C" w:rsidRDefault="00B665B9" w:rsidP="00B665B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Գինը ներառում է էլեկտրաէներգիայի մատակարարման հետ կապված բոլոր ծառայությունների գները,  ներառյալ շուկայի առևտրային  ԷՄԱ կանոններով նախատեսված ծառայությունների արժեքը (բացառությամբ Բաշխման ծառայության), այդ թվում՝  </w:t>
            </w:r>
          </w:p>
          <w:p w14:paraId="69680397" w14:textId="77777777" w:rsidR="00B665B9" w:rsidRPr="00E4629C" w:rsidRDefault="00B665B9" w:rsidP="00B665B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• Էլեկտրաէներգետիկական համակարգի օպերատոր ՓԲԸ-ի ծառայության մատուցման սակագինը, </w:t>
            </w:r>
          </w:p>
          <w:p w14:paraId="565EAF97" w14:textId="77777777" w:rsidR="00B665B9" w:rsidRPr="00E4629C" w:rsidRDefault="00B665B9" w:rsidP="00B665B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• Հաշվարկային կենտրոն ՓԲԸ-ի ծառայության մատուցման սակագինը, </w:t>
            </w:r>
          </w:p>
          <w:p w14:paraId="098317BD" w14:textId="77777777" w:rsidR="00B665B9" w:rsidRPr="00E4629C" w:rsidRDefault="00B665B9" w:rsidP="00B665B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• Երկրորդային և երրորդային պահուստի ապահովման ծառայության վճարը և այլ ծախսերը։</w:t>
            </w:r>
          </w:p>
          <w:p w14:paraId="05326603" w14:textId="77777777" w:rsidR="00B665B9" w:rsidRPr="00E4629C" w:rsidRDefault="00B665B9" w:rsidP="00B665B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Հաճախակի անջատումների, անորակ Էլեկտրաէներգիայի(լարման տատանում և անկում) դեպքում առաջացած հարցերի կարգավորումը պետք է իրականացվի համաձայն ԷՄԱ կանոնների։</w:t>
            </w:r>
          </w:p>
          <w:p w14:paraId="798024FA" w14:textId="77777777" w:rsidR="00B665B9" w:rsidRPr="00E4629C" w:rsidRDefault="00B665B9" w:rsidP="00B665B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Չմատակարարված քանակի չափով պայմանագիրը լուծվում է, առանց որևէ իրավական պարտավորության։</w:t>
            </w:r>
          </w:p>
          <w:p w14:paraId="1013593A" w14:textId="44178B3F" w:rsidR="0022631D" w:rsidRPr="00E4629C" w:rsidRDefault="00B665B9" w:rsidP="00B665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4629C">
              <w:rPr>
                <w:rFonts w:ascii="GHEA Grapalat" w:eastAsia="Times New Roman" w:hAnsi="GHEA Grapalat"/>
                <w:sz w:val="14"/>
                <w:szCs w:val="24"/>
                <w:lang w:val="hy-AM"/>
              </w:rPr>
              <w:t>Մասնակիցը պետք է ունենա ՀՀ օրենսդրությամբ սահմանված համապատասխան լիցենզիա: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69979" w14:textId="77777777" w:rsidR="00B665B9" w:rsidRPr="00E4629C" w:rsidRDefault="00B665B9" w:rsidP="00B665B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lastRenderedPageBreak/>
              <w:t xml:space="preserve">Էլեկտրաէներգիայի մատակարարում      ԵՊՀ ԻՄ մասնաշենքում՝ </w:t>
            </w:r>
          </w:p>
          <w:p w14:paraId="0A7A7321" w14:textId="77777777" w:rsidR="00B665B9" w:rsidRPr="00E4629C" w:rsidRDefault="00B665B9" w:rsidP="00B665B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>1</w:t>
            </w:r>
            <w:r w:rsidRPr="00E4629C">
              <w:rPr>
                <w:rFonts w:ascii="Cambria Math" w:eastAsia="Times New Roman" w:hAnsi="Cambria Math" w:cs="Cambria Math"/>
                <w:b/>
                <w:bCs/>
                <w:i/>
                <w:iCs/>
                <w:sz w:val="14"/>
                <w:szCs w:val="14"/>
                <w:lang w:val="hy-AM"/>
              </w:rPr>
              <w:t>․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Տրանսֆորմատորի ենթակայան 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N  1502  , հաշվիչ՝ 6812</w:t>
            </w:r>
          </w:p>
          <w:p w14:paraId="169F66FF" w14:textId="77777777" w:rsidR="00B665B9" w:rsidRPr="00E4629C" w:rsidRDefault="00B665B9" w:rsidP="00B665B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>2</w:t>
            </w:r>
            <w:r w:rsidRPr="00E4629C">
              <w:rPr>
                <w:rFonts w:ascii="Cambria Math" w:eastAsia="Times New Roman" w:hAnsi="Cambria Math" w:cs="Cambria Math"/>
                <w:b/>
                <w:bCs/>
                <w:i/>
                <w:iCs/>
                <w:sz w:val="14"/>
                <w:szCs w:val="14"/>
                <w:lang w:val="hy-AM"/>
              </w:rPr>
              <w:t>․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>Տրանսֆորմատորի ենթակայան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N  1501  , հաշվիչ՝ 20130174674, 06287336   </w:t>
            </w:r>
            <w:r w:rsidRPr="00E4629C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br/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 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ԵՊՀ ԻՄ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մասնաշենքերի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կարիքների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համար ցածր լարմամբ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էլեկտրաէներգիայի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մատակարարում՝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համաձայն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ՀՀ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հանրային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ծառայությունները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կարգավորող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հանձնաժողովի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25</w:t>
            </w:r>
            <w:r w:rsidRPr="00E4629C">
              <w:rPr>
                <w:rFonts w:ascii="Cambria Math" w:eastAsia="Times New Roman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12</w:t>
            </w:r>
            <w:r w:rsidRPr="00E4629C">
              <w:rPr>
                <w:rFonts w:ascii="Cambria Math" w:eastAsia="Times New Roman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2019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թ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ի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4629C">
              <w:rPr>
                <w:rFonts w:ascii="GHEA Grapalat" w:eastAsia="Times New Roman" w:hAnsi="GHEA Grapalat" w:cs="GHEA Grapalat"/>
                <w:bCs/>
                <w:iCs/>
                <w:sz w:val="14"/>
                <w:szCs w:val="14"/>
                <w:lang w:val="hy-AM"/>
              </w:rPr>
              <w:t>թիվ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517-Ն որոշմամբ հաստատված ՀՀ </w:t>
            </w:r>
            <w:r w:rsidRPr="00E4629C">
              <w:rPr>
                <w:rFonts w:ascii="GHEA Grapalat" w:eastAsia="Times New Roman" w:hAnsi="GHEA Grapalat"/>
                <w:b/>
                <w:bCs/>
                <w:iCs/>
                <w:sz w:val="14"/>
                <w:szCs w:val="14"/>
                <w:lang w:val="hy-AM"/>
              </w:rPr>
              <w:t>էլեկտրաէներգետիկական մանրածախ շուկայի առևտրային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 կանոնների ( այսուհետ՝ ԷՄԱ կանոններ), և ոլորտը կարգավորող այլ իրավական դրույթների։    Հաշվարկային ամսվա ընթացքում մատակարարված էլեկտրական էներգիայի քանակությունը որոշվում է ԷՄԱ կանոններով սահմանված կարգով։ Նախորդ ամսվա ընթացքում սպառած էլեկտրական էներգիայի դիմաց վճարումը կատարվելու է հաշվարկային </w:t>
            </w: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lastRenderedPageBreak/>
              <w:t xml:space="preserve">փաստաթուղթ ներկայացնելու դեպքում ոչ ուշ քան հաջորդ ամսվա 25-ը։ </w:t>
            </w:r>
          </w:p>
          <w:p w14:paraId="7C3F0C57" w14:textId="77777777" w:rsidR="00B665B9" w:rsidRPr="00E4629C" w:rsidRDefault="00B665B9" w:rsidP="00B665B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Գինը ներառում է էլեկտրաէներգիայի մատակարարման հետ կապված բոլոր ծառայությունների գները,  ներառյալ շուկայի առևտրային  ԷՄԱ կանոններով նախատեսված ծառայությունների արժեքը (բացառությամբ Բաշխման ծառայության), այդ թվում՝  </w:t>
            </w:r>
          </w:p>
          <w:p w14:paraId="19C95F4B" w14:textId="77777777" w:rsidR="00B665B9" w:rsidRPr="00E4629C" w:rsidRDefault="00B665B9" w:rsidP="00B665B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• Էլեկտրաէներգետիկական համակարգի օպերատոր ՓԲԸ-ի ծառայության մատուցման սակագինը, </w:t>
            </w:r>
          </w:p>
          <w:p w14:paraId="5D59731F" w14:textId="77777777" w:rsidR="00B665B9" w:rsidRPr="00E4629C" w:rsidRDefault="00B665B9" w:rsidP="00B665B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 xml:space="preserve">• Հաշվարկային կենտրոն ՓԲԸ-ի ծառայության մատուցման սակագինը, </w:t>
            </w:r>
          </w:p>
          <w:p w14:paraId="4BA252EA" w14:textId="77777777" w:rsidR="00B665B9" w:rsidRPr="00E4629C" w:rsidRDefault="00B665B9" w:rsidP="00B665B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• Երկրորդային և երրորդային պահուստի ապահովման ծառայության վճարը և այլ ծախսերը։</w:t>
            </w:r>
          </w:p>
          <w:p w14:paraId="2D53AF01" w14:textId="77777777" w:rsidR="00B665B9" w:rsidRPr="00E4629C" w:rsidRDefault="00B665B9" w:rsidP="00B665B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Հաճախակի անջատումների, անորակ Էլեկտրաէներգիայի(լարման տատանում և անկում) դեպքում առաջացած հարցերի կարգավորումը պետք է իրականացվի համաձայն ԷՄԱ կանոնների։</w:t>
            </w:r>
          </w:p>
          <w:p w14:paraId="7E6D8496" w14:textId="77777777" w:rsidR="00B665B9" w:rsidRPr="00E4629C" w:rsidRDefault="00B665B9" w:rsidP="00B665B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</w:pPr>
            <w:r w:rsidRPr="00E4629C">
              <w:rPr>
                <w:rFonts w:ascii="GHEA Grapalat" w:eastAsia="Times New Roman" w:hAnsi="GHEA Grapalat"/>
                <w:bCs/>
                <w:iCs/>
                <w:sz w:val="14"/>
                <w:szCs w:val="14"/>
                <w:lang w:val="hy-AM"/>
              </w:rPr>
              <w:t>Չմատակարարված քանակի չափով պայմանագիրը լուծվում է, առանց որևէ իրավական պարտավորության։</w:t>
            </w:r>
          </w:p>
          <w:p w14:paraId="5152B32D" w14:textId="57B3DC19" w:rsidR="0022631D" w:rsidRPr="00E4629C" w:rsidRDefault="00B665B9" w:rsidP="00B665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4629C">
              <w:rPr>
                <w:rFonts w:ascii="GHEA Grapalat" w:eastAsia="Times New Roman" w:hAnsi="GHEA Grapalat"/>
                <w:sz w:val="14"/>
                <w:szCs w:val="24"/>
                <w:lang w:val="hy-AM"/>
              </w:rPr>
              <w:t>Մասնակիցը պետք է ունենա ՀՀ օրենսդրությամբ սահմանված համապատասխան լիցենզիա:</w:t>
            </w:r>
          </w:p>
        </w:tc>
      </w:tr>
      <w:tr w:rsidR="0022631D" w:rsidRPr="0022631D" w14:paraId="27D8D935" w14:textId="77777777" w:rsidTr="00E5070B">
        <w:trPr>
          <w:trHeight w:val="182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B8BC031" w14:textId="77777777" w:rsidTr="00E5070B">
        <w:trPr>
          <w:trHeight w:val="169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E5070B">
        <w:trPr>
          <w:trHeight w:val="137"/>
        </w:trPr>
        <w:tc>
          <w:tcPr>
            <w:tcW w:w="44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4A7858E" w:rsidR="0022631D" w:rsidRPr="0022631D" w:rsidRDefault="00AE61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մասին» ՀՀ օրենքի 23-րդ հոդված, Գնումների մասին” ՀՀ օրենքի 15-րդ հոդվածի 6-րդ մասի 1-ին կետ</w:t>
            </w:r>
          </w:p>
        </w:tc>
      </w:tr>
      <w:tr w:rsidR="0022631D" w:rsidRPr="0022631D" w14:paraId="075EEA57" w14:textId="77777777" w:rsidTr="00E5070B">
        <w:trPr>
          <w:trHeight w:val="196"/>
        </w:trPr>
        <w:tc>
          <w:tcPr>
            <w:tcW w:w="1128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E50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CDA2AF3" w:rsidR="0022631D" w:rsidRPr="00E4629C" w:rsidRDefault="00E4629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․12․2025</w:t>
            </w:r>
          </w:p>
        </w:tc>
      </w:tr>
      <w:tr w:rsidR="0022631D" w:rsidRPr="0022631D" w14:paraId="199F948A" w14:textId="77777777" w:rsidTr="00E50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50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E50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E50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50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E5070B">
        <w:trPr>
          <w:trHeight w:val="54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E5070B">
        <w:trPr>
          <w:trHeight w:val="605"/>
        </w:trPr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7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E5070B">
        <w:trPr>
          <w:trHeight w:val="365"/>
        </w:trPr>
        <w:tc>
          <w:tcPr>
            <w:tcW w:w="117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7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E5070B">
        <w:trPr>
          <w:trHeight w:val="83"/>
        </w:trPr>
        <w:tc>
          <w:tcPr>
            <w:tcW w:w="117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109" w:type="dxa"/>
            <w:gridSpan w:val="31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4629C" w:rsidRPr="0022631D" w14:paraId="50825522" w14:textId="77777777" w:rsidTr="00E5070B">
        <w:trPr>
          <w:trHeight w:val="83"/>
        </w:trPr>
        <w:tc>
          <w:tcPr>
            <w:tcW w:w="1175" w:type="dxa"/>
            <w:gridSpan w:val="3"/>
            <w:shd w:val="clear" w:color="auto" w:fill="auto"/>
            <w:vAlign w:val="center"/>
          </w:tcPr>
          <w:p w14:paraId="50AD5B95" w14:textId="77777777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7" w:type="dxa"/>
            <w:gridSpan w:val="6"/>
            <w:shd w:val="clear" w:color="auto" w:fill="auto"/>
            <w:vAlign w:val="center"/>
          </w:tcPr>
          <w:p w14:paraId="259F3C98" w14:textId="40917F0B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/>
              </w:rPr>
              <w:t>ԱՐՏԿՐԵՍՏ ԳԼՈԲԱԼ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C347082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740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hy-AM"/>
              </w:rPr>
              <w:t>2500000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2CCF376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740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2BA4AD3E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740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hy-AM"/>
              </w:rPr>
              <w:t>3000000</w:t>
            </w:r>
          </w:p>
        </w:tc>
      </w:tr>
      <w:tr w:rsidR="00E4629C" w:rsidRPr="0022631D" w14:paraId="56F83F5C" w14:textId="77777777" w:rsidTr="00E5070B">
        <w:trPr>
          <w:trHeight w:val="47"/>
        </w:trPr>
        <w:tc>
          <w:tcPr>
            <w:tcW w:w="1175" w:type="dxa"/>
            <w:gridSpan w:val="3"/>
            <w:shd w:val="clear" w:color="auto" w:fill="auto"/>
            <w:vAlign w:val="center"/>
          </w:tcPr>
          <w:p w14:paraId="3308DF68" w14:textId="77777777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7" w:type="dxa"/>
            <w:gridSpan w:val="6"/>
            <w:shd w:val="clear" w:color="auto" w:fill="auto"/>
            <w:vAlign w:val="center"/>
          </w:tcPr>
          <w:p w14:paraId="766F5B64" w14:textId="28C3B0EC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/>
              </w:rPr>
              <w:t>ԹԻՄ ԷՆԵՐՋԻ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6796DFEA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740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hy-AM"/>
              </w:rPr>
              <w:t>2900000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2218FD49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740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hy-AM"/>
              </w:rPr>
              <w:t>580000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33B994DD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740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hy-AM"/>
              </w:rPr>
              <w:t>3480000</w:t>
            </w:r>
          </w:p>
        </w:tc>
      </w:tr>
      <w:tr w:rsidR="00E4629C" w:rsidRPr="0022631D" w14:paraId="61CDB960" w14:textId="77777777" w:rsidTr="00E5070B">
        <w:tc>
          <w:tcPr>
            <w:tcW w:w="1175" w:type="dxa"/>
            <w:gridSpan w:val="3"/>
            <w:shd w:val="clear" w:color="auto" w:fill="auto"/>
            <w:vAlign w:val="center"/>
          </w:tcPr>
          <w:p w14:paraId="0CA39D0B" w14:textId="77777777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7" w:type="dxa"/>
            <w:gridSpan w:val="6"/>
            <w:shd w:val="clear" w:color="auto" w:fill="auto"/>
            <w:vAlign w:val="center"/>
          </w:tcPr>
          <w:p w14:paraId="7BCC62B1" w14:textId="76672519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Էներջի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Փրովայդեր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1B70A1" w14:textId="7190B6BA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740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hy-AM"/>
              </w:rPr>
              <w:t>3000000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9B325A" w14:textId="57BEF29B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740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D35E18" w14:textId="536E1A05" w:rsidR="00E4629C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740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hy-AM"/>
              </w:rPr>
              <w:t>3600000</w:t>
            </w:r>
          </w:p>
        </w:tc>
      </w:tr>
      <w:tr w:rsidR="0022631D" w:rsidRPr="0022631D" w14:paraId="700CD07F" w14:textId="77777777" w:rsidTr="00E5070B">
        <w:trPr>
          <w:trHeight w:val="288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E5070B">
        <w:tc>
          <w:tcPr>
            <w:tcW w:w="112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E5070B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E5070B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E5070B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E5070B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E5070B">
        <w:trPr>
          <w:trHeight w:val="331"/>
        </w:trPr>
        <w:tc>
          <w:tcPr>
            <w:tcW w:w="204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39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E5070B">
        <w:trPr>
          <w:trHeight w:val="289"/>
        </w:trPr>
        <w:tc>
          <w:tcPr>
            <w:tcW w:w="1128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E5070B">
        <w:trPr>
          <w:trHeight w:val="346"/>
        </w:trPr>
        <w:tc>
          <w:tcPr>
            <w:tcW w:w="50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1E9195E" w:rsidR="0022631D" w:rsidRPr="0022631D" w:rsidRDefault="00E4629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14.01.2026</w:t>
            </w:r>
          </w:p>
        </w:tc>
      </w:tr>
      <w:tr w:rsidR="0022631D" w:rsidRPr="0022631D" w14:paraId="71BEA872" w14:textId="77777777" w:rsidTr="00E5070B">
        <w:trPr>
          <w:trHeight w:val="92"/>
        </w:trPr>
        <w:tc>
          <w:tcPr>
            <w:tcW w:w="504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E5070B">
        <w:trPr>
          <w:trHeight w:val="92"/>
        </w:trPr>
        <w:tc>
          <w:tcPr>
            <w:tcW w:w="504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67F060A" w:rsidR="0022631D" w:rsidRPr="0022631D" w:rsidRDefault="00E4629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15.01.2026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2176DC5" w:rsidR="0022631D" w:rsidRPr="0022631D" w:rsidRDefault="00E4629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20.01.2026</w:t>
            </w:r>
          </w:p>
        </w:tc>
      </w:tr>
      <w:tr w:rsidR="0022631D" w:rsidRPr="0022631D" w14:paraId="2254FA5C" w14:textId="77777777" w:rsidTr="00E5070B">
        <w:trPr>
          <w:trHeight w:val="344"/>
        </w:trPr>
        <w:tc>
          <w:tcPr>
            <w:tcW w:w="11284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7DB0AFE" w:rsidR="0022631D" w:rsidRPr="00E4629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462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21.01.2026</w:t>
            </w:r>
          </w:p>
        </w:tc>
      </w:tr>
      <w:tr w:rsidR="0022631D" w:rsidRPr="0022631D" w14:paraId="3C75DA26" w14:textId="77777777" w:rsidTr="00E5070B">
        <w:trPr>
          <w:trHeight w:val="344"/>
        </w:trPr>
        <w:tc>
          <w:tcPr>
            <w:tcW w:w="50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9415F74" w:rsidR="0022631D" w:rsidRPr="0022631D" w:rsidRDefault="00E4629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22.01.2026</w:t>
            </w:r>
          </w:p>
        </w:tc>
      </w:tr>
      <w:tr w:rsidR="0022631D" w:rsidRPr="0022631D" w14:paraId="0682C6BE" w14:textId="77777777" w:rsidTr="00E5070B">
        <w:trPr>
          <w:trHeight w:val="344"/>
        </w:trPr>
        <w:tc>
          <w:tcPr>
            <w:tcW w:w="50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BF7D349" w:rsidR="0022631D" w:rsidRPr="0022631D" w:rsidRDefault="00E4629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23.01.2026</w:t>
            </w:r>
          </w:p>
        </w:tc>
      </w:tr>
      <w:tr w:rsidR="0022631D" w:rsidRPr="0022631D" w14:paraId="79A64497" w14:textId="77777777" w:rsidTr="00E5070B">
        <w:trPr>
          <w:trHeight w:val="288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E5070B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0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68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E5070B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E5070B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E5070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22631D" w14:paraId="1E28D31D" w14:textId="77777777" w:rsidTr="00E5070B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14:paraId="391CD0D1" w14:textId="1A2C4D6D" w:rsidR="0022631D" w:rsidRPr="0022631D" w:rsidRDefault="004973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ԱՐՏԿՐԵՍՏ ԳԼՈԲԱԼ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1" w:type="dxa"/>
            <w:gridSpan w:val="8"/>
            <w:shd w:val="clear" w:color="auto" w:fill="auto"/>
            <w:vAlign w:val="center"/>
          </w:tcPr>
          <w:p w14:paraId="2183B64C" w14:textId="2427BC40" w:rsidR="0022631D" w:rsidRPr="0022631D" w:rsidRDefault="004973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ԵՊՀ ԻՄ-ԳՀՄԾՁԲ-26/1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28BFD95" w:rsidR="0022631D" w:rsidRPr="0049733C" w:rsidRDefault="004973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․01․2026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AD8CB19" w:rsidR="0022631D" w:rsidRPr="0049733C" w:rsidRDefault="0049733C" w:rsidP="0049733C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․12․2026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51C01BB8" w:rsidR="0049733C" w:rsidRPr="0049733C" w:rsidRDefault="0049733C" w:rsidP="00497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3000000</w:t>
            </w:r>
          </w:p>
        </w:tc>
      </w:tr>
      <w:tr w:rsidR="0022631D" w:rsidRPr="0022631D" w14:paraId="41E4ED39" w14:textId="77777777" w:rsidTr="00E5070B">
        <w:trPr>
          <w:trHeight w:val="150"/>
        </w:trPr>
        <w:tc>
          <w:tcPr>
            <w:tcW w:w="11284" w:type="dxa"/>
            <w:gridSpan w:val="34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E5070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22631D" w14:paraId="20BC55B9" w14:textId="77777777" w:rsidTr="00E5070B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2DA710" w:rsidR="0022631D" w:rsidRPr="0022631D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462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Pr="00E462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ԱՐՏԿՐԵՍՏ ԳԼՈԲԱԼ</w:t>
            </w:r>
            <w:r w:rsidRPr="00E462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C19892E" w:rsidR="0022631D" w:rsidRPr="00E5070B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4629C">
              <w:rPr>
                <w:lang w:val="hy-AM"/>
              </w:rPr>
              <w:t>7Փ ․/Շ/21/1 Բագրատաշեն Տավուշ Բագրատաշեն Այրում</w:t>
            </w:r>
            <w:r w:rsidR="00E5070B">
              <w:rPr>
                <w:lang w:val="hy-AM"/>
              </w:rPr>
              <w:t xml:space="preserve">, հեռ </w:t>
            </w:r>
            <w:r w:rsidRPr="00E4629C">
              <w:rPr>
                <w:lang w:val="hy-AM"/>
              </w:rPr>
              <w:t>093329910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B3B558E" w:rsidR="0022631D" w:rsidRPr="0022631D" w:rsidRDefault="009C3B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="00E4629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artkrestglobal@mail.ru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42756F3" w:rsidR="0022631D" w:rsidRPr="00E4629C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220103332213000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43F8AE2" w:rsidR="0022631D" w:rsidRPr="00E4629C" w:rsidRDefault="00E462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07621679</w:t>
            </w:r>
          </w:p>
        </w:tc>
      </w:tr>
      <w:tr w:rsidR="0022631D" w:rsidRPr="0022631D" w14:paraId="223A7F8C" w14:textId="77777777" w:rsidTr="00E5070B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E5070B">
        <w:trPr>
          <w:trHeight w:val="288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E50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E5070B">
        <w:trPr>
          <w:trHeight w:val="288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E5070B">
        <w:trPr>
          <w:trHeight w:val="288"/>
        </w:trPr>
        <w:tc>
          <w:tcPr>
            <w:tcW w:w="11284" w:type="dxa"/>
            <w:gridSpan w:val="34"/>
            <w:shd w:val="clear" w:color="auto" w:fill="auto"/>
            <w:vAlign w:val="center"/>
          </w:tcPr>
          <w:p w14:paraId="0AD8E25E" w14:textId="56E7D3D4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E5070B">
        <w:trPr>
          <w:trHeight w:val="288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E5070B">
        <w:trPr>
          <w:trHeight w:val="475"/>
        </w:trPr>
        <w:tc>
          <w:tcPr>
            <w:tcW w:w="26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30175924" w:rsidR="0022631D" w:rsidRPr="00E4629C" w:rsidRDefault="00E4629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629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armeps.am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gnumner.am</w:t>
            </w:r>
          </w:p>
        </w:tc>
      </w:tr>
      <w:tr w:rsidR="0022631D" w:rsidRPr="00E56328" w14:paraId="5A7FED5D" w14:textId="77777777" w:rsidTr="00E5070B">
        <w:trPr>
          <w:trHeight w:val="288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E5070B">
        <w:trPr>
          <w:trHeight w:val="427"/>
        </w:trPr>
        <w:tc>
          <w:tcPr>
            <w:tcW w:w="2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E5070B">
        <w:trPr>
          <w:trHeight w:val="288"/>
        </w:trPr>
        <w:tc>
          <w:tcPr>
            <w:tcW w:w="1128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E5070B">
        <w:trPr>
          <w:trHeight w:val="427"/>
        </w:trPr>
        <w:tc>
          <w:tcPr>
            <w:tcW w:w="2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E5070B">
        <w:trPr>
          <w:trHeight w:val="288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E5070B">
        <w:trPr>
          <w:trHeight w:val="427"/>
        </w:trPr>
        <w:tc>
          <w:tcPr>
            <w:tcW w:w="2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E5070B">
        <w:trPr>
          <w:trHeight w:val="288"/>
        </w:trPr>
        <w:tc>
          <w:tcPr>
            <w:tcW w:w="11284" w:type="dxa"/>
            <w:gridSpan w:val="3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E5070B">
        <w:trPr>
          <w:trHeight w:val="227"/>
        </w:trPr>
        <w:tc>
          <w:tcPr>
            <w:tcW w:w="11284" w:type="dxa"/>
            <w:gridSpan w:val="3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5070B">
        <w:trPr>
          <w:trHeight w:val="47"/>
        </w:trPr>
        <w:tc>
          <w:tcPr>
            <w:tcW w:w="3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E5070B">
        <w:trPr>
          <w:trHeight w:val="47"/>
        </w:trPr>
        <w:tc>
          <w:tcPr>
            <w:tcW w:w="3402" w:type="dxa"/>
            <w:gridSpan w:val="8"/>
            <w:shd w:val="clear" w:color="auto" w:fill="auto"/>
            <w:vAlign w:val="center"/>
          </w:tcPr>
          <w:p w14:paraId="0A862370" w14:textId="78016653" w:rsidR="0022631D" w:rsidRPr="00E4629C" w:rsidRDefault="00E4629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Արփինե Պողոսյան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8BF688C" w:rsidR="0022631D" w:rsidRPr="00E4629C" w:rsidRDefault="00E4629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093878714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520F3F" w:rsidR="0022631D" w:rsidRPr="0022631D" w:rsidRDefault="00E4629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gmpib@ysu.am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1B6B5" w14:textId="77777777" w:rsidR="009C3B21" w:rsidRDefault="009C3B21" w:rsidP="0022631D">
      <w:pPr>
        <w:spacing w:before="0" w:after="0"/>
      </w:pPr>
      <w:r>
        <w:separator/>
      </w:r>
    </w:p>
  </w:endnote>
  <w:endnote w:type="continuationSeparator" w:id="0">
    <w:p w14:paraId="2354A746" w14:textId="77777777" w:rsidR="009C3B21" w:rsidRDefault="009C3B2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BF96E" w14:textId="77777777" w:rsidR="009C3B21" w:rsidRDefault="009C3B21" w:rsidP="0022631D">
      <w:pPr>
        <w:spacing w:before="0" w:after="0"/>
      </w:pPr>
      <w:r>
        <w:separator/>
      </w:r>
    </w:p>
  </w:footnote>
  <w:footnote w:type="continuationSeparator" w:id="0">
    <w:p w14:paraId="061B6C9C" w14:textId="77777777" w:rsidR="009C3B21" w:rsidRDefault="009C3B2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2631D" w:rsidRPr="0078682E" w:rsidRDefault="0022631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2631D" w:rsidRPr="0078682E" w:rsidRDefault="0022631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2631D" w:rsidRPr="00005B9C" w:rsidRDefault="0022631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9733C"/>
    <w:rsid w:val="004D078F"/>
    <w:rsid w:val="004E376E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C4E62"/>
    <w:rsid w:val="008E493A"/>
    <w:rsid w:val="009C3B21"/>
    <w:rsid w:val="009C5E0F"/>
    <w:rsid w:val="009E75FF"/>
    <w:rsid w:val="00A21181"/>
    <w:rsid w:val="00A306F5"/>
    <w:rsid w:val="00A31820"/>
    <w:rsid w:val="00AA32E4"/>
    <w:rsid w:val="00AD07B9"/>
    <w:rsid w:val="00AD59DC"/>
    <w:rsid w:val="00AE61F2"/>
    <w:rsid w:val="00B665B9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4629C"/>
    <w:rsid w:val="00E5070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62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6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tkrestglob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FB49-4076-45CA-B0D4-A4B63157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14</cp:revision>
  <cp:lastPrinted>2021-04-06T07:47:00Z</cp:lastPrinted>
  <dcterms:created xsi:type="dcterms:W3CDTF">2021-06-28T12:08:00Z</dcterms:created>
  <dcterms:modified xsi:type="dcterms:W3CDTF">2026-01-24T09:12:00Z</dcterms:modified>
</cp:coreProperties>
</file>