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15D54D27"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4028C2" w:rsidRPr="004028C2">
        <w:rPr>
          <w:rFonts w:ascii="GHEA Grapalat" w:hAnsi="GHEA Grapalat" w:cs="Sylfaen"/>
          <w:b/>
          <w:sz w:val="19"/>
          <w:szCs w:val="19"/>
          <w:lang w:val="hy-AM"/>
        </w:rPr>
        <w:t xml:space="preserve">երեխաների համար միջոցառումների կազմակերպման </w:t>
      </w:r>
      <w:r w:rsidR="004028C2" w:rsidRPr="004028C2">
        <w:rPr>
          <w:rFonts w:ascii="Courier New" w:hAnsi="Courier New" w:cs="Courier New"/>
          <w:b/>
          <w:sz w:val="19"/>
          <w:szCs w:val="19"/>
          <w:lang w:val="hy-AM"/>
        </w:rPr>
        <w:t>―</w:t>
      </w:r>
      <w:r w:rsidR="004028C2" w:rsidRPr="004028C2">
        <w:rPr>
          <w:rFonts w:ascii="GHEA Grapalat" w:hAnsi="GHEA Grapalat" w:cs="Sylfaen"/>
          <w:b/>
          <w:sz w:val="19"/>
          <w:szCs w:val="19"/>
          <w:lang w:val="hy-AM"/>
        </w:rPr>
        <w:t xml:space="preserve"> անցկացման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4028C2">
        <w:rPr>
          <w:rFonts w:ascii="GHEA Grapalat" w:eastAsia="Times New Roman" w:hAnsi="GHEA Grapalat" w:cs="Sylfaen"/>
          <w:b/>
          <w:sz w:val="20"/>
          <w:szCs w:val="20"/>
          <w:lang w:val="af-ZA" w:eastAsia="ru-RU"/>
        </w:rPr>
        <w:t>ՀՀ ՆԳՆ ՀՄԱԾՁԲ-2026/ԱԽ-43</w:t>
      </w:r>
      <w:r w:rsidR="00641971">
        <w:rPr>
          <w:rFonts w:ascii="GHEA Grapalat" w:eastAsia="Times New Roman" w:hAnsi="GHEA Grapalat" w:cs="Sylfaen"/>
          <w:b/>
          <w:sz w:val="20"/>
          <w:szCs w:val="20"/>
          <w:lang w:val="hy-AM"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4028C2">
        <w:rPr>
          <w:rFonts w:ascii="GHEA Grapalat" w:eastAsia="Times New Roman" w:hAnsi="GHEA Grapalat" w:cs="Sylfaen"/>
          <w:b/>
          <w:sz w:val="20"/>
          <w:szCs w:val="20"/>
          <w:lang w:val="hy-AM" w:eastAsia="ru-RU"/>
        </w:rPr>
        <w:t>09</w:t>
      </w:r>
      <w:r w:rsidR="00641971">
        <w:rPr>
          <w:rFonts w:ascii="GHEA Grapalat" w:eastAsia="Times New Roman" w:hAnsi="GHEA Grapalat" w:cs="Sylfaen"/>
          <w:b/>
          <w:sz w:val="20"/>
          <w:szCs w:val="20"/>
          <w:lang w:val="hy-AM" w:eastAsia="ru-RU"/>
        </w:rPr>
        <w:t>.06</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599"/>
        <w:gridCol w:w="369"/>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505898">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894"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250"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505898">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070"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250"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505898">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70"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13"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5879" w:rsidRPr="004028C2" w14:paraId="6CB0AC86" w14:textId="77777777" w:rsidTr="00505898">
        <w:trPr>
          <w:trHeight w:val="3130"/>
        </w:trPr>
        <w:tc>
          <w:tcPr>
            <w:tcW w:w="978" w:type="dxa"/>
            <w:gridSpan w:val="2"/>
            <w:shd w:val="clear" w:color="auto" w:fill="auto"/>
            <w:vAlign w:val="center"/>
          </w:tcPr>
          <w:p w14:paraId="62F3341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7DAB4DCD" w14:textId="77777777" w:rsidR="004028C2" w:rsidRPr="004028C2" w:rsidRDefault="004028C2" w:rsidP="004028C2">
            <w:pPr>
              <w:tabs>
                <w:tab w:val="left" w:pos="1248"/>
              </w:tabs>
              <w:spacing w:before="0" w:after="0"/>
              <w:ind w:left="0" w:firstLine="0"/>
              <w:jc w:val="center"/>
              <w:rPr>
                <w:rFonts w:ascii="GHEA Grapalat" w:eastAsia="Times New Roman" w:hAnsi="GHEA Grapalat"/>
                <w:b/>
                <w:sz w:val="16"/>
                <w:szCs w:val="14"/>
                <w:lang w:val="hy-AM" w:eastAsia="ru-RU"/>
              </w:rPr>
            </w:pPr>
            <w:r w:rsidRPr="004028C2">
              <w:rPr>
                <w:rFonts w:ascii="GHEA Grapalat" w:eastAsia="Times New Roman" w:hAnsi="GHEA Grapalat"/>
                <w:b/>
                <w:sz w:val="16"/>
                <w:szCs w:val="14"/>
                <w:lang w:val="hy-AM" w:eastAsia="ru-RU"/>
              </w:rPr>
              <w:t>Միջոցառման կազմակերպման ծառայություններ</w:t>
            </w:r>
          </w:p>
          <w:p w14:paraId="2721F035" w14:textId="2FD4A011" w:rsidR="008D5879" w:rsidRPr="00297833" w:rsidRDefault="004028C2" w:rsidP="004028C2">
            <w:pPr>
              <w:tabs>
                <w:tab w:val="left" w:pos="1248"/>
              </w:tabs>
              <w:spacing w:before="0" w:after="0"/>
              <w:ind w:left="0" w:firstLine="0"/>
              <w:jc w:val="center"/>
              <w:rPr>
                <w:rFonts w:ascii="GHEA Grapalat" w:eastAsia="Times New Roman" w:hAnsi="GHEA Grapalat"/>
                <w:b/>
                <w:sz w:val="16"/>
                <w:szCs w:val="14"/>
                <w:lang w:val="hy-AM" w:eastAsia="ru-RU"/>
              </w:rPr>
            </w:pPr>
            <w:r w:rsidRPr="004028C2">
              <w:rPr>
                <w:rFonts w:ascii="GHEA Grapalat" w:eastAsia="Times New Roman" w:hAnsi="GHEA Grapalat"/>
                <w:b/>
                <w:sz w:val="16"/>
                <w:szCs w:val="14"/>
                <w:lang w:val="hy-AM" w:eastAsia="ru-RU"/>
              </w:rPr>
              <w:t>CPV-92331300/2</w:t>
            </w:r>
          </w:p>
        </w:tc>
        <w:tc>
          <w:tcPr>
            <w:tcW w:w="720" w:type="dxa"/>
            <w:gridSpan w:val="2"/>
            <w:shd w:val="clear" w:color="auto" w:fill="auto"/>
            <w:vAlign w:val="center"/>
          </w:tcPr>
          <w:p w14:paraId="5C08EE47" w14:textId="143C5971"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72FB4435" w:rsidR="008D5879" w:rsidRPr="00AD3A79" w:rsidRDefault="00505898"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szCs w:val="20"/>
                <w:lang w:val="hy-AM"/>
              </w:rPr>
              <w:t>1</w:t>
            </w:r>
          </w:p>
        </w:tc>
        <w:tc>
          <w:tcPr>
            <w:tcW w:w="1070" w:type="dxa"/>
            <w:gridSpan w:val="3"/>
            <w:shd w:val="clear" w:color="auto" w:fill="auto"/>
            <w:vAlign w:val="center"/>
          </w:tcPr>
          <w:p w14:paraId="6021AF6A" w14:textId="5308F34D" w:rsidR="008D5879" w:rsidRPr="00AD3A79" w:rsidRDefault="00505898" w:rsidP="00505898">
            <w:pPr>
              <w:jc w:val="center"/>
              <w:rPr>
                <w:rFonts w:ascii="GHEA Grapalat" w:eastAsia="Times New Roman" w:hAnsi="GHEA Grapalat"/>
                <w:b/>
                <w:sz w:val="16"/>
                <w:szCs w:val="14"/>
                <w:lang w:val="hy-AM" w:eastAsia="ru-RU"/>
              </w:rPr>
            </w:pPr>
            <w:r>
              <w:rPr>
                <w:rFonts w:ascii="GHEA Grapalat" w:hAnsi="GHEA Grapalat"/>
                <w:sz w:val="20"/>
                <w:szCs w:val="20"/>
                <w:lang w:val="hy-AM"/>
              </w:rPr>
              <w:t>1</w:t>
            </w:r>
          </w:p>
        </w:tc>
        <w:tc>
          <w:tcPr>
            <w:tcW w:w="1013" w:type="dxa"/>
            <w:gridSpan w:val="3"/>
            <w:shd w:val="clear" w:color="auto" w:fill="auto"/>
            <w:vAlign w:val="center"/>
          </w:tcPr>
          <w:p w14:paraId="07535066" w14:textId="79917A84" w:rsidR="008D5879" w:rsidRPr="0075446C" w:rsidRDefault="00076BD3" w:rsidP="008D5879">
            <w:pPr>
              <w:tabs>
                <w:tab w:val="left" w:pos="1248"/>
              </w:tabs>
              <w:spacing w:before="0" w:after="0"/>
              <w:ind w:left="0" w:firstLine="0"/>
              <w:jc w:val="center"/>
              <w:rPr>
                <w:rFonts w:ascii="GHEA Grapalat" w:eastAsia="Times New Roman" w:hAnsi="GHEA Grapalat"/>
                <w:b/>
                <w:sz w:val="16"/>
                <w:szCs w:val="14"/>
                <w:lang w:eastAsia="ru-RU"/>
              </w:rPr>
            </w:pPr>
            <w:r w:rsidRPr="00076BD3">
              <w:rPr>
                <w:rFonts w:ascii="GHEA Grapalat" w:eastAsia="Times New Roman" w:hAnsi="GHEA Grapalat"/>
                <w:b/>
                <w:sz w:val="16"/>
                <w:szCs w:val="14"/>
                <w:lang w:eastAsia="ru-RU"/>
              </w:rPr>
              <w:t>1 964 400</w:t>
            </w:r>
          </w:p>
        </w:tc>
        <w:tc>
          <w:tcPr>
            <w:tcW w:w="1237" w:type="dxa"/>
            <w:gridSpan w:val="2"/>
            <w:shd w:val="clear" w:color="auto" w:fill="auto"/>
            <w:vAlign w:val="center"/>
          </w:tcPr>
          <w:p w14:paraId="22401932" w14:textId="6E73A73A" w:rsidR="008D5879" w:rsidRPr="0075446C" w:rsidRDefault="00076BD3" w:rsidP="008D5879">
            <w:pPr>
              <w:tabs>
                <w:tab w:val="left" w:pos="1248"/>
              </w:tabs>
              <w:spacing w:before="0" w:after="0"/>
              <w:ind w:left="0" w:firstLine="0"/>
              <w:jc w:val="center"/>
              <w:rPr>
                <w:rFonts w:ascii="GHEA Grapalat" w:eastAsia="Times New Roman" w:hAnsi="GHEA Grapalat"/>
                <w:b/>
                <w:sz w:val="16"/>
                <w:szCs w:val="14"/>
                <w:lang w:eastAsia="ru-RU"/>
              </w:rPr>
            </w:pPr>
            <w:r w:rsidRPr="00076BD3">
              <w:rPr>
                <w:rFonts w:ascii="GHEA Grapalat" w:eastAsia="Times New Roman" w:hAnsi="GHEA Grapalat"/>
                <w:b/>
                <w:sz w:val="16"/>
                <w:szCs w:val="14"/>
                <w:lang w:eastAsia="ru-RU"/>
              </w:rPr>
              <w:t>1 964 400</w:t>
            </w:r>
          </w:p>
        </w:tc>
        <w:tc>
          <w:tcPr>
            <w:tcW w:w="1981" w:type="dxa"/>
            <w:gridSpan w:val="7"/>
            <w:vAlign w:val="center"/>
          </w:tcPr>
          <w:p w14:paraId="0E89D083"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5810F40D"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Հունիսի 1-ին, Երեխաների պաշտպանության միջազգային օրվա կապակցությամբ, իրազեկման միջոցառման կազմակերպում:</w:t>
            </w:r>
          </w:p>
          <w:p w14:paraId="1D6F74FC"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Ծառայություն մատուցողը  հունիսի 1-ին  պարտավոր է ապահովել Հայաստանի Հանրապետության ներքին գործերի նախարարության կողմից անցկացվող միջոցառման կազմակերպումը: </w:t>
            </w:r>
          </w:p>
          <w:p w14:paraId="6E18A57C"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Ծառայությունների նկարագիրը՝</w:t>
            </w:r>
          </w:p>
          <w:p w14:paraId="42916A60"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5FAAC71B" w14:textId="5EF735A8"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1.Տաղավարներ՝ 6 հատ, սեղաններ՝ 6 հատ, աթոռներ՝ 20 հատ</w:t>
            </w:r>
            <w:r w:rsidRPr="004028C2">
              <w:rPr>
                <w:rFonts w:ascii="MS Mincho" w:eastAsia="MS Mincho" w:hAnsi="MS Mincho" w:cs="MS Mincho" w:hint="eastAsia"/>
                <w:b/>
                <w:sz w:val="18"/>
                <w:szCs w:val="18"/>
                <w:lang w:val="hy-AM" w:eastAsia="ru-RU"/>
              </w:rPr>
              <w:t>․</w:t>
            </w:r>
          </w:p>
          <w:p w14:paraId="35A535AB"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Տաղավարները նախատեսված են այցելուների ընդունման, տեղեկատվական նյութերի տարածման և խաղային գոտիների համար։</w:t>
            </w:r>
          </w:p>
          <w:p w14:paraId="1E08B950" w14:textId="3DC7FD65"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2.Ձայնային համակարգ և բարձրախոս</w:t>
            </w:r>
            <w:r w:rsidRPr="004028C2">
              <w:rPr>
                <w:rFonts w:ascii="MS Mincho" w:eastAsia="MS Mincho" w:hAnsi="MS Mincho" w:cs="MS Mincho" w:hint="eastAsia"/>
                <w:b/>
                <w:sz w:val="18"/>
                <w:szCs w:val="18"/>
                <w:lang w:val="hy-AM" w:eastAsia="ru-RU"/>
              </w:rPr>
              <w:t>․</w:t>
            </w:r>
          </w:p>
          <w:p w14:paraId="4FBA03E2"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Ելույթների և երաժշտական ծրագրերի իրականացումը </w:t>
            </w:r>
            <w:r w:rsidRPr="004028C2">
              <w:rPr>
                <w:rFonts w:ascii="GHEA Grapalat" w:eastAsia="Times New Roman" w:hAnsi="GHEA Grapalat"/>
                <w:b/>
                <w:sz w:val="18"/>
                <w:szCs w:val="18"/>
                <w:lang w:val="hy-AM" w:eastAsia="ru-RU"/>
              </w:rPr>
              <w:lastRenderedPageBreak/>
              <w:t>որակյալ ապահովելու համար</w:t>
            </w:r>
          </w:p>
          <w:p w14:paraId="2E33DC6E" w14:textId="2DD45583"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3.Լուսանկարվելու հատված՝ թեմատիկ լուծումներով (Ֆոտոզոնա) 3x6 մ</w:t>
            </w:r>
            <w:r w:rsidRPr="004028C2">
              <w:rPr>
                <w:rFonts w:ascii="MS Mincho" w:eastAsia="MS Mincho" w:hAnsi="MS Mincho" w:cs="MS Mincho" w:hint="eastAsia"/>
                <w:b/>
                <w:sz w:val="18"/>
                <w:szCs w:val="18"/>
                <w:lang w:val="hy-AM" w:eastAsia="ru-RU"/>
              </w:rPr>
              <w:t>․</w:t>
            </w:r>
          </w:p>
          <w:p w14:paraId="169C2DF2"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Օգտագործվում է միջոցառման ընթացքում լուսանկարվելու համար։ Տարածքը համապատասխան ձևավորված է թեմատիկ լուծումներով։</w:t>
            </w:r>
          </w:p>
          <w:p w14:paraId="009B696C" w14:textId="45E13C5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4.Փոքրիկ քաղաքացու անձնագրերի տպագրություն (300 հատ)</w:t>
            </w:r>
            <w:r w:rsidRPr="004028C2">
              <w:rPr>
                <w:rFonts w:ascii="MS Mincho" w:eastAsia="MS Mincho" w:hAnsi="MS Mincho" w:cs="MS Mincho" w:hint="eastAsia"/>
                <w:b/>
                <w:sz w:val="18"/>
                <w:szCs w:val="18"/>
                <w:lang w:val="hy-AM" w:eastAsia="ru-RU"/>
              </w:rPr>
              <w:t>․</w:t>
            </w:r>
          </w:p>
          <w:p w14:paraId="6527F2CE"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Երեխաների լուսանկարահանում և խորհրդանշական կենսաչափական անձնագրերի տեղում պատրաստում։</w:t>
            </w:r>
          </w:p>
          <w:p w14:paraId="489AA6DF" w14:textId="6CD570FB"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5.Կարտոնե ֆիգուրներ՝ PVC, չափսը՝ 1.20 x 1.70 մ -3 հատ</w:t>
            </w:r>
          </w:p>
          <w:p w14:paraId="70009CBD"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Թեմատիկ ֆիգուրներ ՆԳՆ ենթակա ծառայությունների ներկայացման համար։</w:t>
            </w:r>
          </w:p>
          <w:p w14:paraId="6289F5CB" w14:textId="32F1DCC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6.Կրծքանշաններ՝ 3 տեսակ, յուրաքանչյուրից 100 հատ</w:t>
            </w:r>
            <w:r w:rsidRPr="004028C2">
              <w:rPr>
                <w:rFonts w:ascii="MS Mincho" w:eastAsia="MS Mincho" w:hAnsi="MS Mincho" w:cs="MS Mincho" w:hint="eastAsia"/>
                <w:b/>
                <w:sz w:val="18"/>
                <w:szCs w:val="18"/>
                <w:lang w:val="hy-AM" w:eastAsia="ru-RU"/>
              </w:rPr>
              <w:t>․</w:t>
            </w:r>
          </w:p>
          <w:p w14:paraId="61A765C1"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Տրվում են երեխաներին որպես մրցանակ միջոցառման ժամանակ։</w:t>
            </w:r>
          </w:p>
          <w:p w14:paraId="6DF7845D" w14:textId="45014B8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7.</w:t>
            </w:r>
            <w:r>
              <w:rPr>
                <w:rFonts w:ascii="GHEA Grapalat" w:eastAsia="Times New Roman" w:hAnsi="GHEA Grapalat"/>
                <w:b/>
                <w:sz w:val="18"/>
                <w:szCs w:val="18"/>
                <w:lang w:val="hy-AM" w:eastAsia="ru-RU"/>
              </w:rPr>
              <w:t>Տ</w:t>
            </w:r>
            <w:r w:rsidRPr="004028C2">
              <w:rPr>
                <w:rFonts w:ascii="GHEA Grapalat" w:eastAsia="Times New Roman" w:hAnsi="GHEA Grapalat"/>
                <w:b/>
                <w:sz w:val="18"/>
                <w:szCs w:val="18"/>
                <w:lang w:val="hy-AM" w:eastAsia="ru-RU"/>
              </w:rPr>
              <w:t>պագրված շապիկներ (20 հատ)</w:t>
            </w:r>
            <w:r w:rsidRPr="004028C2">
              <w:rPr>
                <w:rFonts w:ascii="MS Mincho" w:eastAsia="MS Mincho" w:hAnsi="MS Mincho" w:cs="MS Mincho" w:hint="eastAsia"/>
                <w:b/>
                <w:sz w:val="18"/>
                <w:szCs w:val="18"/>
                <w:lang w:val="hy-AM" w:eastAsia="ru-RU"/>
              </w:rPr>
              <w:t>․</w:t>
            </w:r>
          </w:p>
          <w:p w14:paraId="4B9DC92A"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Շապիկները նախատեսված են միջոցառման կազմակերպիչների և կամավորների համար՝ տարբերանշանով։</w:t>
            </w:r>
          </w:p>
          <w:p w14:paraId="7F3B20F4"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1A6C2289" w14:textId="05B64D44"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lastRenderedPageBreak/>
              <w:t>8.Մուլյաժներ՝ 60 x 80 սմ (20 հատ)</w:t>
            </w:r>
          </w:p>
          <w:p w14:paraId="417598D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Օգտագործվում են իրազեկող ինտերակտիվ խաղերի համար։</w:t>
            </w:r>
          </w:p>
          <w:p w14:paraId="57755D5A" w14:textId="5C01B8D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9.Պաստառ՝ 1 x 1.80 մ՝ 3 հատ (բաններ)</w:t>
            </w:r>
            <w:r w:rsidRPr="004028C2">
              <w:rPr>
                <w:rFonts w:ascii="MS Mincho" w:eastAsia="MS Mincho" w:hAnsi="MS Mincho" w:cs="MS Mincho" w:hint="eastAsia"/>
                <w:b/>
                <w:sz w:val="18"/>
                <w:szCs w:val="18"/>
                <w:lang w:val="hy-AM" w:eastAsia="ru-RU"/>
              </w:rPr>
              <w:t>․</w:t>
            </w:r>
          </w:p>
          <w:p w14:paraId="4C8B1917"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0F4E6791"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ՆԳՆ ենթակա ծառայություններին վերաբերող տաղավարների ցուցադրության համար։</w:t>
            </w:r>
          </w:p>
          <w:p w14:paraId="4DE7E1D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53CFEFD6" w14:textId="491DAF88"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10.Խաղավար (3 հոգի).</w:t>
            </w:r>
          </w:p>
          <w:p w14:paraId="6B30D2CF"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Մանկական խաղերի կազմակերպման համար, ներառյալ արտակարգ իրավիճակների վերաբերյալ ինտերակտիվ խաղեր։</w:t>
            </w:r>
          </w:p>
          <w:p w14:paraId="4B1448E2" w14:textId="7E0F0405"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11.Ուղեցույցներ (ոստիկան, քաղաքացի, փրկարար), բարձրությունը՝ 1.80 մ.</w:t>
            </w:r>
          </w:p>
          <w:p w14:paraId="643CDF57"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Միջոցառման տարածքում համապատասխան տաղավարների և ուղղությունների նշման համար։</w:t>
            </w:r>
          </w:p>
          <w:p w14:paraId="0E50F343" w14:textId="02C97255"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12.Թեմատիկ փուչիկներ (300 հատ).</w:t>
            </w:r>
          </w:p>
          <w:p w14:paraId="5290FEF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1F9261B0" w14:textId="0533D830"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13.Ծառայողական մեքենաների համար նախատեսված ինքնակպչուններ՝ 60 սմ (12 հատ), 30 սմ (12 հատ)</w:t>
            </w:r>
            <w:r w:rsidRPr="004028C2">
              <w:rPr>
                <w:rFonts w:ascii="MS Mincho" w:eastAsia="MS Mincho" w:hAnsi="MS Mincho" w:cs="MS Mincho" w:hint="eastAsia"/>
                <w:b/>
                <w:sz w:val="18"/>
                <w:szCs w:val="18"/>
                <w:lang w:val="hy-AM" w:eastAsia="ru-RU"/>
              </w:rPr>
              <w:t>․</w:t>
            </w:r>
          </w:p>
          <w:p w14:paraId="4DBA5E80"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01C82BDF" w14:textId="65E35C58"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14.Սեղանների համար նախատեսված «Ներկի՛ր ինքդ» պաստառներ (18 հատ)</w:t>
            </w:r>
            <w:r w:rsidRPr="004028C2">
              <w:rPr>
                <w:rFonts w:ascii="MS Mincho" w:eastAsia="MS Mincho" w:hAnsi="MS Mincho" w:cs="MS Mincho" w:hint="eastAsia"/>
                <w:b/>
                <w:sz w:val="18"/>
                <w:szCs w:val="18"/>
                <w:lang w:val="hy-AM" w:eastAsia="ru-RU"/>
              </w:rPr>
              <w:t>․</w:t>
            </w:r>
          </w:p>
          <w:p w14:paraId="7747B58B"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Օգտագործվում են </w:t>
            </w:r>
            <w:r w:rsidRPr="004028C2">
              <w:rPr>
                <w:rFonts w:ascii="GHEA Grapalat" w:eastAsia="Times New Roman" w:hAnsi="GHEA Grapalat"/>
                <w:b/>
                <w:sz w:val="18"/>
                <w:szCs w:val="18"/>
                <w:lang w:val="hy-AM" w:eastAsia="ru-RU"/>
              </w:rPr>
              <w:lastRenderedPageBreak/>
              <w:t>խաղային-ստեղծագործական գոտում՝ երեխաների նկարչության համար։</w:t>
            </w:r>
          </w:p>
          <w:p w14:paraId="150C83CC" w14:textId="5DBC20B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15.Միջոցառման սպասարկում (համապատասխան մասնագետների ներգրավում)</w:t>
            </w:r>
          </w:p>
          <w:p w14:paraId="1C28DBB0"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Ներառում է միջոցառման անխափան և արդյունավետ իրականացման համար անհրաժեշտ տեխնիկական աջակցության ապահովում, ինչպես նաև մասնագետների ներգրավում՝ երեխաների հետ աշխատանքների կազմակերպման, տեղեկատվության տրամադրման և իրազեկման գործընթացի պատշաճ իրականացման նպատակով։</w:t>
            </w:r>
          </w:p>
          <w:p w14:paraId="1013593A" w14:textId="2E6D5862" w:rsidR="008D5879" w:rsidRPr="00AD3A79" w:rsidRDefault="008D5879" w:rsidP="004028C2">
            <w:pPr>
              <w:tabs>
                <w:tab w:val="left" w:pos="1248"/>
              </w:tabs>
              <w:spacing w:before="0" w:after="0"/>
              <w:ind w:left="0" w:firstLine="0"/>
              <w:rPr>
                <w:rFonts w:ascii="GHEA Grapalat" w:eastAsia="Times New Roman" w:hAnsi="GHEA Grapalat"/>
                <w:b/>
                <w:sz w:val="18"/>
                <w:szCs w:val="18"/>
                <w:lang w:val="hy-AM" w:eastAsia="ru-RU"/>
              </w:rPr>
            </w:pPr>
          </w:p>
        </w:tc>
        <w:tc>
          <w:tcPr>
            <w:tcW w:w="2069" w:type="dxa"/>
            <w:gridSpan w:val="3"/>
            <w:vAlign w:val="center"/>
          </w:tcPr>
          <w:p w14:paraId="54D85E41"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0BA4BDE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Հունիսի 1-ին, Երեխաների պաշտպանության միջազգային օրվա կապակցությամբ, իրազեկման միջոցառման կազմակերպում:</w:t>
            </w:r>
          </w:p>
          <w:p w14:paraId="4A161C09"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Ծառայություն մատուցողը  հունիսի 1-ին  պարտավոր է ապահովել Հայաստանի Հանրապետության ներքին գործերի նախարարության կողմից անցկացվող միջոցառման կազմակերպումը: </w:t>
            </w:r>
          </w:p>
          <w:p w14:paraId="6ECD7014"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Ծառայությունների նկարագիրը՝</w:t>
            </w:r>
          </w:p>
          <w:p w14:paraId="5A51B29D"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0B3E1AEA" w14:textId="4CD2605F"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1.Տաղավարներ՝ 6 հատ, սեղաններ՝ 6 հատ, աթոռներ՝ 20 հատ</w:t>
            </w:r>
            <w:r w:rsidRPr="004028C2">
              <w:rPr>
                <w:rFonts w:ascii="MS Mincho" w:eastAsia="MS Mincho" w:hAnsi="MS Mincho" w:cs="MS Mincho" w:hint="eastAsia"/>
                <w:b/>
                <w:sz w:val="18"/>
                <w:szCs w:val="18"/>
                <w:lang w:val="hy-AM" w:eastAsia="ru-RU"/>
              </w:rPr>
              <w:t>․</w:t>
            </w:r>
          </w:p>
          <w:p w14:paraId="689B295E"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Տաղավարները նախատեսված են այցելուների ընդունման, տեղեկատվական նյութերի տարածման և խաղային գոտիների համար։</w:t>
            </w:r>
          </w:p>
          <w:p w14:paraId="238EFB5A" w14:textId="3C50E036"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2.Ձայնային համակարգ և բարձրախոս</w:t>
            </w:r>
            <w:r w:rsidRPr="004028C2">
              <w:rPr>
                <w:rFonts w:ascii="MS Mincho" w:eastAsia="MS Mincho" w:hAnsi="MS Mincho" w:cs="MS Mincho" w:hint="eastAsia"/>
                <w:b/>
                <w:sz w:val="18"/>
                <w:szCs w:val="18"/>
                <w:lang w:val="hy-AM" w:eastAsia="ru-RU"/>
              </w:rPr>
              <w:t>․</w:t>
            </w:r>
          </w:p>
          <w:p w14:paraId="3F4D7D5E"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Ելույթների և երաժշտական ծրագրերի իրականացումը որակյալ </w:t>
            </w:r>
            <w:r w:rsidRPr="004028C2">
              <w:rPr>
                <w:rFonts w:ascii="GHEA Grapalat" w:eastAsia="Times New Roman" w:hAnsi="GHEA Grapalat"/>
                <w:b/>
                <w:sz w:val="18"/>
                <w:szCs w:val="18"/>
                <w:lang w:val="hy-AM" w:eastAsia="ru-RU"/>
              </w:rPr>
              <w:lastRenderedPageBreak/>
              <w:t>ապահովելու համար</w:t>
            </w:r>
          </w:p>
          <w:p w14:paraId="1ACF588A" w14:textId="16DDE30B"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3.Լուսանկարվելու հատված՝ թեմատիկ լուծումներով (Ֆոտոզոնա) 3x6 մ</w:t>
            </w:r>
            <w:r w:rsidRPr="004028C2">
              <w:rPr>
                <w:rFonts w:ascii="MS Mincho" w:eastAsia="MS Mincho" w:hAnsi="MS Mincho" w:cs="MS Mincho" w:hint="eastAsia"/>
                <w:b/>
                <w:sz w:val="18"/>
                <w:szCs w:val="18"/>
                <w:lang w:val="hy-AM" w:eastAsia="ru-RU"/>
              </w:rPr>
              <w:t>․</w:t>
            </w:r>
          </w:p>
          <w:p w14:paraId="1F84745C"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Օգտագործվում է միջոցառման ընթացքում լուսանկարվելու համար։ Տարածքը համապատասխան ձևավորված է թեմատիկ լուծումներով։</w:t>
            </w:r>
          </w:p>
          <w:p w14:paraId="3770B92D" w14:textId="535C4C09"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4.Փոքրիկ քաղաքացու անձնագրերի տպագրություն (300 հատ)</w:t>
            </w:r>
            <w:r w:rsidRPr="004028C2">
              <w:rPr>
                <w:rFonts w:ascii="MS Mincho" w:eastAsia="MS Mincho" w:hAnsi="MS Mincho" w:cs="MS Mincho" w:hint="eastAsia"/>
                <w:b/>
                <w:sz w:val="18"/>
                <w:szCs w:val="18"/>
                <w:lang w:val="hy-AM" w:eastAsia="ru-RU"/>
              </w:rPr>
              <w:t>․</w:t>
            </w:r>
          </w:p>
          <w:p w14:paraId="7A7CBF52"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Երեխաների լուսանկարահանում և խորհրդանշական կենսաչափական անձնագրերի տեղում պատրաստում։</w:t>
            </w:r>
          </w:p>
          <w:p w14:paraId="1EC4B409" w14:textId="595BD471"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5.Կարտոնե ֆիգուրներ՝ PVC, չափսը՝ 1.20 x 1.70 մ -3 հատ</w:t>
            </w:r>
          </w:p>
          <w:p w14:paraId="7B3B91DC"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Թեմատիկ ֆիգուրներ ՆԳՆ ենթակա ծառայությունների ներկայացման համար։</w:t>
            </w:r>
          </w:p>
          <w:p w14:paraId="3757A7E6" w14:textId="03AF7D16"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6.Կրծքանշաններ՝ 3 տեսակ, յուրաքանչյուրից 100 հատ</w:t>
            </w:r>
            <w:r w:rsidRPr="004028C2">
              <w:rPr>
                <w:rFonts w:ascii="MS Mincho" w:eastAsia="MS Mincho" w:hAnsi="MS Mincho" w:cs="MS Mincho" w:hint="eastAsia"/>
                <w:b/>
                <w:sz w:val="18"/>
                <w:szCs w:val="18"/>
                <w:lang w:val="hy-AM" w:eastAsia="ru-RU"/>
              </w:rPr>
              <w:t>․</w:t>
            </w:r>
          </w:p>
          <w:p w14:paraId="38D0E983"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Տրվում են երեխաներին որպես մրցանակ միջոցառման ժամանակ։</w:t>
            </w:r>
          </w:p>
          <w:p w14:paraId="419B20F4" w14:textId="0816C70B"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7.Տպագրված շապիկներ (20 հատ)</w:t>
            </w:r>
            <w:r w:rsidRPr="004028C2">
              <w:rPr>
                <w:rFonts w:ascii="MS Mincho" w:eastAsia="MS Mincho" w:hAnsi="MS Mincho" w:cs="MS Mincho" w:hint="eastAsia"/>
                <w:b/>
                <w:sz w:val="18"/>
                <w:szCs w:val="18"/>
                <w:lang w:val="hy-AM" w:eastAsia="ru-RU"/>
              </w:rPr>
              <w:t>․</w:t>
            </w:r>
          </w:p>
          <w:p w14:paraId="774C0CB9"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Շապիկները նախատեսված են միջոցառման կազմակերպիչների և կամավորների համար՝ տարբերանշանով։</w:t>
            </w:r>
          </w:p>
          <w:p w14:paraId="3B911E7A"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494AFF2B" w14:textId="3DBECE6B"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8.Մուլյաժներ՝ 60 x 80 սմ (20 հատ)</w:t>
            </w:r>
          </w:p>
          <w:p w14:paraId="5D2BEE16"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 xml:space="preserve">Օգտագործվում են </w:t>
            </w:r>
            <w:r w:rsidRPr="004028C2">
              <w:rPr>
                <w:rFonts w:ascii="GHEA Grapalat" w:eastAsia="Times New Roman" w:hAnsi="GHEA Grapalat"/>
                <w:b/>
                <w:sz w:val="18"/>
                <w:szCs w:val="18"/>
                <w:lang w:val="hy-AM" w:eastAsia="ru-RU"/>
              </w:rPr>
              <w:lastRenderedPageBreak/>
              <w:t>իրազեկող ինտերակտիվ խաղերի համար։</w:t>
            </w:r>
          </w:p>
          <w:p w14:paraId="7959972F" w14:textId="471EA78F"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9.Պաստառ՝ 1 x 1.80 մ՝ 3 հատ (բաններ)</w:t>
            </w:r>
            <w:r w:rsidRPr="004028C2">
              <w:rPr>
                <w:rFonts w:ascii="MS Mincho" w:eastAsia="MS Mincho" w:hAnsi="MS Mincho" w:cs="MS Mincho" w:hint="eastAsia"/>
                <w:b/>
                <w:sz w:val="18"/>
                <w:szCs w:val="18"/>
                <w:lang w:val="hy-AM" w:eastAsia="ru-RU"/>
              </w:rPr>
              <w:t>․</w:t>
            </w:r>
          </w:p>
          <w:p w14:paraId="7D09D411"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7D1982E3"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ՆԳՆ ենթակա ծառայություններին վերաբերող տաղավարների ցուցադրության համար։</w:t>
            </w:r>
          </w:p>
          <w:p w14:paraId="56BF4243"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025DF1AA" w14:textId="12E3C58F"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10.Խաղավար (3 հոգի).</w:t>
            </w:r>
          </w:p>
          <w:p w14:paraId="690CBAC2"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Մանկական խաղերի կազմակերպման համար, ներառյալ արտակարգ իրավիճակների վերաբերյալ ինտերակտիվ խաղեր։</w:t>
            </w:r>
          </w:p>
          <w:p w14:paraId="28658091" w14:textId="211A2350"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11.Ուղեցույցներ (ոստիկան, քաղաքացի, փրկարար), բարձրությունը՝ 1.80 մ.</w:t>
            </w:r>
          </w:p>
          <w:p w14:paraId="59020E3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Միջոցառման տարածքում համապատասխան տաղավարների և ուղղությունների նշման համար։</w:t>
            </w:r>
          </w:p>
          <w:p w14:paraId="3EE8687D" w14:textId="66AB457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12.Թեմատիկ փուչիկներ (300 հատ).</w:t>
            </w:r>
          </w:p>
          <w:p w14:paraId="74FD5DB2"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37007126" w14:textId="30F94A7C"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13.Ծառայողական մեքենաների համար նախատեսված ինքնակպչուններ՝ 60 սմ (12 հատ), 30 սմ (12 հատ)</w:t>
            </w:r>
            <w:r w:rsidRPr="004028C2">
              <w:rPr>
                <w:rFonts w:ascii="MS Mincho" w:eastAsia="MS Mincho" w:hAnsi="MS Mincho" w:cs="MS Mincho" w:hint="eastAsia"/>
                <w:b/>
                <w:sz w:val="18"/>
                <w:szCs w:val="18"/>
                <w:lang w:val="hy-AM" w:eastAsia="ru-RU"/>
              </w:rPr>
              <w:t>․</w:t>
            </w:r>
          </w:p>
          <w:p w14:paraId="27017F78"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p>
          <w:p w14:paraId="7F83EF10" w14:textId="53959DD2"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14.Սեղանների համար նախատեսված «Ներկի՛ր ինքդ» պաստառներ (18 հատ)</w:t>
            </w:r>
            <w:r w:rsidRPr="004028C2">
              <w:rPr>
                <w:rFonts w:ascii="MS Mincho" w:eastAsia="MS Mincho" w:hAnsi="MS Mincho" w:cs="MS Mincho" w:hint="eastAsia"/>
                <w:b/>
                <w:sz w:val="18"/>
                <w:szCs w:val="18"/>
                <w:lang w:val="hy-AM" w:eastAsia="ru-RU"/>
              </w:rPr>
              <w:t>․</w:t>
            </w:r>
          </w:p>
          <w:p w14:paraId="03773C2A"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Օգտագործվում են խաղային-ստեղծագործական գոտում՝ երեխաների նկարչության համար։</w:t>
            </w:r>
          </w:p>
          <w:p w14:paraId="104BDAC5" w14:textId="1540B533"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lastRenderedPageBreak/>
              <w:t>15.Միջոցառման սպասարկում (համապատասխան մասնագետների ներգրավում)</w:t>
            </w:r>
          </w:p>
          <w:p w14:paraId="4914844B" w14:textId="77777777" w:rsidR="004028C2" w:rsidRPr="004028C2" w:rsidRDefault="004028C2" w:rsidP="004028C2">
            <w:pPr>
              <w:tabs>
                <w:tab w:val="left" w:pos="1248"/>
              </w:tabs>
              <w:spacing w:before="0" w:after="0"/>
              <w:ind w:left="0" w:firstLine="0"/>
              <w:rPr>
                <w:rFonts w:ascii="GHEA Grapalat" w:eastAsia="Times New Roman" w:hAnsi="GHEA Grapalat"/>
                <w:b/>
                <w:sz w:val="18"/>
                <w:szCs w:val="18"/>
                <w:lang w:val="hy-AM" w:eastAsia="ru-RU"/>
              </w:rPr>
            </w:pPr>
            <w:r w:rsidRPr="004028C2">
              <w:rPr>
                <w:rFonts w:ascii="GHEA Grapalat" w:eastAsia="Times New Roman" w:hAnsi="GHEA Grapalat"/>
                <w:b/>
                <w:sz w:val="18"/>
                <w:szCs w:val="18"/>
                <w:lang w:val="hy-AM" w:eastAsia="ru-RU"/>
              </w:rPr>
              <w:t>Ներառում է միջոցառման անխափան և արդյունավետ իրականացման համար անհրաժեշտ տեխնիկական աջակցության ապահովում, ինչպես նաև մասնագետների ներգրավում՝ երեխաների հետ աշխատանքների կազմակերպման, տեղեկատվության տրամադրման և իրազեկման գործընթացի պատշաճ իրականացման նպատակով։</w:t>
            </w:r>
          </w:p>
          <w:p w14:paraId="5152B32D" w14:textId="33E466D8" w:rsidR="008D5879" w:rsidRPr="00AD3A79" w:rsidRDefault="008D5879" w:rsidP="00F966EE">
            <w:pPr>
              <w:tabs>
                <w:tab w:val="left" w:pos="1248"/>
              </w:tabs>
              <w:spacing w:before="0" w:after="0"/>
              <w:ind w:left="0" w:firstLine="0"/>
              <w:rPr>
                <w:rFonts w:ascii="GHEA Grapalat" w:eastAsia="Times New Roman" w:hAnsi="GHEA Grapalat"/>
                <w:b/>
                <w:sz w:val="18"/>
                <w:szCs w:val="18"/>
                <w:lang w:val="hy-AM" w:eastAsia="ru-RU"/>
              </w:rPr>
            </w:pPr>
          </w:p>
        </w:tc>
      </w:tr>
      <w:tr w:rsidR="008D5879" w:rsidRPr="004028C2" w14:paraId="4B8BC031" w14:textId="77777777" w:rsidTr="00AD3A79">
        <w:trPr>
          <w:trHeight w:val="246"/>
        </w:trPr>
        <w:tc>
          <w:tcPr>
            <w:tcW w:w="11520" w:type="dxa"/>
            <w:gridSpan w:val="28"/>
            <w:shd w:val="clear" w:color="auto" w:fill="99CCFF"/>
            <w:vAlign w:val="center"/>
          </w:tcPr>
          <w:p w14:paraId="451180EC" w14:textId="6CB9DAD5" w:rsidR="008D5879" w:rsidRPr="002623A0" w:rsidRDefault="008D5879" w:rsidP="008D5879">
            <w:pPr>
              <w:spacing w:before="0" w:after="160" w:line="259" w:lineRule="auto"/>
              <w:ind w:left="0" w:firstLine="0"/>
              <w:rPr>
                <w:rFonts w:ascii="GHEA Grapalat" w:eastAsia="Times New Roman" w:hAnsi="GHEA Grapalat" w:cs="Sylfaen"/>
                <w:b/>
                <w:sz w:val="16"/>
                <w:szCs w:val="14"/>
                <w:lang w:val="hy-AM" w:eastAsia="ru-RU"/>
              </w:rPr>
            </w:pPr>
          </w:p>
        </w:tc>
      </w:tr>
      <w:tr w:rsidR="008D5879"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8D5879"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E9B81FC" w:rsidR="008D5879" w:rsidRPr="002623A0" w:rsidRDefault="00076BD3" w:rsidP="008D587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04</w:t>
            </w:r>
            <w:r w:rsidR="008D5879">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6</w:t>
            </w:r>
            <w:r w:rsidR="008D5879" w:rsidRPr="00EC7CE2">
              <w:rPr>
                <w:rFonts w:ascii="GHEA Grapalat" w:eastAsia="Times New Roman" w:hAnsi="GHEA Grapalat"/>
                <w:b/>
                <w:sz w:val="16"/>
                <w:szCs w:val="14"/>
                <w:lang w:val="hy-AM" w:eastAsia="ru-RU"/>
              </w:rPr>
              <w:t>.</w:t>
            </w:r>
            <w:r w:rsidR="008D5879">
              <w:rPr>
                <w:rFonts w:ascii="GHEA Grapalat" w:eastAsia="Times New Roman" w:hAnsi="GHEA Grapalat"/>
                <w:b/>
                <w:sz w:val="16"/>
                <w:szCs w:val="14"/>
                <w:lang w:val="hy-AM" w:eastAsia="ru-RU"/>
              </w:rPr>
              <w:t>2026թ</w:t>
            </w:r>
            <w:r w:rsidR="008D5879" w:rsidRPr="002623A0">
              <w:rPr>
                <w:rFonts w:ascii="GHEA Grapalat" w:eastAsia="Times New Roman" w:hAnsi="GHEA Grapalat" w:cs="Sylfaen"/>
                <w:b/>
                <w:sz w:val="16"/>
                <w:szCs w:val="14"/>
                <w:lang w:val="hy-AM" w:eastAsia="ru-RU"/>
              </w:rPr>
              <w:t>.</w:t>
            </w:r>
          </w:p>
        </w:tc>
      </w:tr>
      <w:tr w:rsidR="008D5879"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8D5879" w:rsidRPr="002623A0" w:rsidRDefault="008D5879" w:rsidP="008D587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8D5879"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8D5879" w:rsidRPr="002623A0" w:rsidRDefault="008D5879" w:rsidP="008D5879">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30B89418" w14:textId="77777777" w:rsidTr="00AD3A79">
        <w:trPr>
          <w:trHeight w:val="54"/>
        </w:trPr>
        <w:tc>
          <w:tcPr>
            <w:tcW w:w="11520" w:type="dxa"/>
            <w:gridSpan w:val="28"/>
            <w:shd w:val="clear" w:color="auto" w:fill="99CCFF"/>
            <w:vAlign w:val="center"/>
          </w:tcPr>
          <w:p w14:paraId="70776DB4"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0DC4861" w14:textId="77777777" w:rsidTr="009E3B8A">
        <w:trPr>
          <w:trHeight w:val="605"/>
        </w:trPr>
        <w:tc>
          <w:tcPr>
            <w:tcW w:w="1527" w:type="dxa"/>
            <w:gridSpan w:val="3"/>
            <w:vMerge w:val="restart"/>
            <w:shd w:val="clear" w:color="auto" w:fill="auto"/>
            <w:vAlign w:val="center"/>
          </w:tcPr>
          <w:p w14:paraId="34162061" w14:textId="77777777"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3FD00E3A" w14:textId="77777777" w:rsidTr="009E3B8A">
        <w:trPr>
          <w:trHeight w:val="365"/>
        </w:trPr>
        <w:tc>
          <w:tcPr>
            <w:tcW w:w="1527" w:type="dxa"/>
            <w:gridSpan w:val="3"/>
            <w:vMerge/>
            <w:shd w:val="clear" w:color="auto" w:fill="auto"/>
            <w:vAlign w:val="center"/>
          </w:tcPr>
          <w:p w14:paraId="67E5DBF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2623A0" w14:paraId="4DA511EC" w14:textId="77777777" w:rsidTr="00076BD3">
        <w:trPr>
          <w:trHeight w:val="133"/>
        </w:trPr>
        <w:tc>
          <w:tcPr>
            <w:tcW w:w="1527" w:type="dxa"/>
            <w:gridSpan w:val="3"/>
            <w:shd w:val="clear" w:color="auto" w:fill="auto"/>
            <w:vAlign w:val="center"/>
          </w:tcPr>
          <w:p w14:paraId="5DBE5B3F"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8D5879" w:rsidRPr="002623A0" w:rsidRDefault="008D5879" w:rsidP="008D5879">
            <w:pPr>
              <w:widowControl w:val="0"/>
              <w:spacing w:before="0" w:after="0"/>
              <w:ind w:left="0" w:firstLine="0"/>
              <w:rPr>
                <w:rFonts w:ascii="GHEA Grapalat" w:eastAsia="Times New Roman" w:hAnsi="GHEA Grapalat" w:cs="Sylfaen"/>
                <w:b/>
                <w:color w:val="365F91"/>
                <w:sz w:val="16"/>
                <w:szCs w:val="14"/>
                <w:lang w:eastAsia="ru-RU"/>
              </w:rPr>
            </w:pPr>
          </w:p>
        </w:tc>
      </w:tr>
      <w:tr w:rsidR="00076BD3" w:rsidRPr="00BC4490" w14:paraId="50825522" w14:textId="77777777" w:rsidTr="009E3B8A">
        <w:trPr>
          <w:trHeight w:val="83"/>
        </w:trPr>
        <w:tc>
          <w:tcPr>
            <w:tcW w:w="1527" w:type="dxa"/>
            <w:gridSpan w:val="3"/>
            <w:shd w:val="clear" w:color="auto" w:fill="auto"/>
            <w:vAlign w:val="center"/>
          </w:tcPr>
          <w:p w14:paraId="50AD5B95" w14:textId="6092972A" w:rsidR="00076BD3" w:rsidRPr="002623A0"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6736D858" w:rsidR="00076BD3" w:rsidRPr="002623A0" w:rsidRDefault="00076BD3" w:rsidP="00076BD3">
            <w:pPr>
              <w:widowControl w:val="0"/>
              <w:spacing w:before="0" w:after="0"/>
              <w:ind w:left="0" w:firstLine="0"/>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«ԿՈՎԻՍՏԱ» ՍՊԸ</w:t>
            </w:r>
          </w:p>
        </w:tc>
        <w:tc>
          <w:tcPr>
            <w:tcW w:w="2664" w:type="dxa"/>
            <w:gridSpan w:val="6"/>
            <w:shd w:val="clear" w:color="auto" w:fill="auto"/>
            <w:vAlign w:val="center"/>
          </w:tcPr>
          <w:p w14:paraId="1D867224" w14:textId="7061D384" w:rsidR="00076BD3" w:rsidRPr="00313C57"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076BD3">
              <w:rPr>
                <w:rFonts w:ascii="GHEA Grapalat" w:eastAsia="Times New Roman" w:hAnsi="GHEA Grapalat"/>
                <w:b/>
                <w:sz w:val="16"/>
                <w:szCs w:val="14"/>
                <w:lang w:eastAsia="ru-RU"/>
              </w:rPr>
              <w:t>1 964 400</w:t>
            </w:r>
          </w:p>
        </w:tc>
        <w:tc>
          <w:tcPr>
            <w:tcW w:w="2445" w:type="dxa"/>
            <w:gridSpan w:val="7"/>
            <w:shd w:val="clear" w:color="auto" w:fill="auto"/>
            <w:vAlign w:val="center"/>
          </w:tcPr>
          <w:p w14:paraId="22B8A853" w14:textId="60F592B4" w:rsidR="00076BD3" w:rsidRPr="00E2448C" w:rsidRDefault="00076BD3" w:rsidP="00076BD3">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w:t>
            </w:r>
          </w:p>
        </w:tc>
        <w:tc>
          <w:tcPr>
            <w:tcW w:w="2095" w:type="dxa"/>
            <w:gridSpan w:val="4"/>
            <w:shd w:val="clear" w:color="auto" w:fill="auto"/>
            <w:vAlign w:val="center"/>
          </w:tcPr>
          <w:p w14:paraId="1F59BBB2" w14:textId="0F8ED2F0" w:rsidR="00076BD3" w:rsidRPr="00873F5F"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076BD3">
              <w:rPr>
                <w:rFonts w:ascii="GHEA Grapalat" w:eastAsia="Times New Roman" w:hAnsi="GHEA Grapalat"/>
                <w:b/>
                <w:sz w:val="16"/>
                <w:szCs w:val="14"/>
                <w:lang w:eastAsia="ru-RU"/>
              </w:rPr>
              <w:t>1 964 400</w:t>
            </w:r>
          </w:p>
        </w:tc>
      </w:tr>
      <w:tr w:rsidR="00076BD3" w:rsidRPr="002623A0" w14:paraId="700CD07F" w14:textId="77777777" w:rsidTr="00AD3A79">
        <w:trPr>
          <w:trHeight w:val="288"/>
        </w:trPr>
        <w:tc>
          <w:tcPr>
            <w:tcW w:w="11520" w:type="dxa"/>
            <w:gridSpan w:val="28"/>
            <w:shd w:val="clear" w:color="auto" w:fill="99CCFF"/>
            <w:vAlign w:val="center"/>
          </w:tcPr>
          <w:p w14:paraId="10ED060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76BD3" w:rsidRPr="002623A0" w14:paraId="552679BF" w14:textId="77777777" w:rsidTr="009E3B8A">
        <w:tc>
          <w:tcPr>
            <w:tcW w:w="859" w:type="dxa"/>
            <w:vMerge w:val="restart"/>
            <w:shd w:val="clear" w:color="auto" w:fill="auto"/>
            <w:vAlign w:val="center"/>
          </w:tcPr>
          <w:p w14:paraId="770D59C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w:t>
            </w:r>
            <w:r w:rsidRPr="002623A0">
              <w:rPr>
                <w:rFonts w:ascii="GHEA Grapalat" w:eastAsia="Times New Roman" w:hAnsi="GHEA Grapalat" w:cs="Sylfaen"/>
                <w:b/>
                <w:sz w:val="16"/>
                <w:szCs w:val="14"/>
                <w:lang w:eastAsia="ru-RU"/>
              </w:rPr>
              <w:lastRenderedPageBreak/>
              <w:t>ը</w:t>
            </w:r>
            <w:proofErr w:type="spellEnd"/>
          </w:p>
        </w:tc>
        <w:tc>
          <w:tcPr>
            <w:tcW w:w="1477" w:type="dxa"/>
            <w:gridSpan w:val="3"/>
            <w:vMerge w:val="restart"/>
            <w:shd w:val="clear" w:color="auto" w:fill="auto"/>
            <w:vAlign w:val="center"/>
          </w:tcPr>
          <w:p w14:paraId="563B2C65"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lastRenderedPageBreak/>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076BD3"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076BD3" w:rsidRPr="002623A0" w:rsidRDefault="00076BD3" w:rsidP="00076BD3">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lastRenderedPageBreak/>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076BD3" w:rsidRPr="002623A0" w:rsidRDefault="00076BD3" w:rsidP="00076BD3">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lastRenderedPageBreak/>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lastRenderedPageBreak/>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076BD3" w:rsidRPr="002623A0" w:rsidRDefault="00076BD3" w:rsidP="00076BD3">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lastRenderedPageBreak/>
              <w:t xml:space="preserve">Առաջարկած գնման առարկայի տեխնիկական բնութագրերի </w:t>
            </w:r>
            <w:r w:rsidRPr="002623A0">
              <w:rPr>
                <w:rFonts w:ascii="GHEA Grapalat" w:eastAsia="Times New Roman" w:hAnsi="GHEA Grapalat" w:cs="Arial Armenian"/>
                <w:b/>
                <w:color w:val="000000"/>
                <w:sz w:val="16"/>
                <w:szCs w:val="14"/>
                <w:lang w:val="hy-AM" w:eastAsia="ru-RU"/>
              </w:rPr>
              <w:lastRenderedPageBreak/>
              <w:t>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lastRenderedPageBreak/>
              <w:t>Գնային առաջարկ</w:t>
            </w:r>
          </w:p>
        </w:tc>
      </w:tr>
      <w:tr w:rsidR="00076BD3" w:rsidRPr="002623A0" w14:paraId="5E96A1C5" w14:textId="77777777" w:rsidTr="009E3B8A">
        <w:tc>
          <w:tcPr>
            <w:tcW w:w="859" w:type="dxa"/>
            <w:tcBorders>
              <w:bottom w:val="single" w:sz="8" w:space="0" w:color="auto"/>
            </w:tcBorders>
            <w:shd w:val="clear" w:color="auto" w:fill="auto"/>
          </w:tcPr>
          <w:p w14:paraId="6CEDE0A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1</w:t>
            </w:r>
          </w:p>
        </w:tc>
        <w:tc>
          <w:tcPr>
            <w:tcW w:w="1477" w:type="dxa"/>
            <w:gridSpan w:val="3"/>
            <w:tcBorders>
              <w:bottom w:val="single" w:sz="8" w:space="0" w:color="auto"/>
            </w:tcBorders>
            <w:shd w:val="clear" w:color="auto" w:fill="auto"/>
          </w:tcPr>
          <w:p w14:paraId="7CD1451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522ACAFB" w14:textId="77777777" w:rsidTr="009E3B8A">
        <w:trPr>
          <w:trHeight w:val="331"/>
        </w:trPr>
        <w:tc>
          <w:tcPr>
            <w:tcW w:w="2336" w:type="dxa"/>
            <w:gridSpan w:val="4"/>
            <w:shd w:val="clear" w:color="auto" w:fill="auto"/>
            <w:vAlign w:val="center"/>
          </w:tcPr>
          <w:p w14:paraId="514F7E40" w14:textId="77777777" w:rsidR="00076BD3" w:rsidRPr="002623A0" w:rsidRDefault="00076BD3" w:rsidP="00076BD3">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076BD3"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076BD3" w:rsidRPr="002623A0" w:rsidRDefault="00076BD3" w:rsidP="00076BD3">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56BC4594"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04.06.2026թ.</w:t>
            </w:r>
          </w:p>
        </w:tc>
      </w:tr>
      <w:tr w:rsidR="00076BD3" w:rsidRPr="002623A0" w14:paraId="71BEA872" w14:textId="77777777" w:rsidTr="009E3B8A">
        <w:trPr>
          <w:trHeight w:val="92"/>
        </w:trPr>
        <w:tc>
          <w:tcPr>
            <w:tcW w:w="4621" w:type="dxa"/>
            <w:gridSpan w:val="12"/>
            <w:vMerge w:val="restart"/>
            <w:shd w:val="clear" w:color="auto" w:fill="auto"/>
            <w:vAlign w:val="center"/>
          </w:tcPr>
          <w:p w14:paraId="7F8FD238" w14:textId="77777777" w:rsidR="00076BD3" w:rsidRPr="002623A0" w:rsidRDefault="00076BD3" w:rsidP="00076BD3">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076BD3" w:rsidRPr="002623A0" w:rsidRDefault="00076BD3" w:rsidP="00076BD3">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076BD3" w:rsidRPr="002623A0" w:rsidRDefault="00076BD3" w:rsidP="00076BD3">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076BD3"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076BD3" w:rsidRPr="002623A0" w:rsidRDefault="00076BD3" w:rsidP="00076BD3">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076BD3"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73DFEE22"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04.06.2026թ.</w:t>
            </w:r>
          </w:p>
        </w:tc>
      </w:tr>
      <w:tr w:rsidR="00076BD3"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6C561460"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05.06.2026թ.</w:t>
            </w:r>
          </w:p>
        </w:tc>
      </w:tr>
      <w:tr w:rsidR="00076BD3"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076BD3" w:rsidRPr="002623A0" w:rsidRDefault="00076BD3" w:rsidP="00076BD3">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185DADD7"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09.06.2026թ.</w:t>
            </w:r>
          </w:p>
        </w:tc>
      </w:tr>
      <w:tr w:rsidR="00076BD3" w:rsidRPr="002623A0" w14:paraId="79A64497" w14:textId="77777777" w:rsidTr="003B13C7">
        <w:trPr>
          <w:trHeight w:val="538"/>
        </w:trPr>
        <w:tc>
          <w:tcPr>
            <w:tcW w:w="11520" w:type="dxa"/>
            <w:gridSpan w:val="28"/>
            <w:shd w:val="clear" w:color="auto" w:fill="99CCFF"/>
            <w:vAlign w:val="center"/>
          </w:tcPr>
          <w:p w14:paraId="620F225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4E4EA255" w14:textId="77777777" w:rsidTr="009E3B8A">
        <w:tc>
          <w:tcPr>
            <w:tcW w:w="859" w:type="dxa"/>
            <w:vMerge w:val="restart"/>
            <w:shd w:val="clear" w:color="auto" w:fill="auto"/>
            <w:vAlign w:val="center"/>
          </w:tcPr>
          <w:p w14:paraId="7AA249E4"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076BD3" w:rsidRPr="002623A0" w14:paraId="11F19FA1" w14:textId="77777777" w:rsidTr="009E3B8A">
        <w:trPr>
          <w:trHeight w:val="237"/>
        </w:trPr>
        <w:tc>
          <w:tcPr>
            <w:tcW w:w="859" w:type="dxa"/>
            <w:vMerge/>
            <w:shd w:val="clear" w:color="auto" w:fill="auto"/>
            <w:vAlign w:val="center"/>
          </w:tcPr>
          <w:p w14:paraId="39B67943"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076BD3" w:rsidRPr="002623A0" w14:paraId="4DC53241" w14:textId="77777777" w:rsidTr="009E3B8A">
        <w:trPr>
          <w:trHeight w:val="238"/>
        </w:trPr>
        <w:tc>
          <w:tcPr>
            <w:tcW w:w="859" w:type="dxa"/>
            <w:vMerge/>
            <w:shd w:val="clear" w:color="auto" w:fill="auto"/>
            <w:vAlign w:val="center"/>
          </w:tcPr>
          <w:p w14:paraId="7D858D4B"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76BD3"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76BD3" w:rsidRPr="00353B67" w14:paraId="1E28D31D" w14:textId="77777777" w:rsidTr="009E3B8A">
        <w:trPr>
          <w:trHeight w:val="146"/>
        </w:trPr>
        <w:tc>
          <w:tcPr>
            <w:tcW w:w="859" w:type="dxa"/>
            <w:shd w:val="clear" w:color="auto" w:fill="auto"/>
            <w:vAlign w:val="center"/>
          </w:tcPr>
          <w:p w14:paraId="1F1D10DE" w14:textId="57F5BD53"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37DE69B1" w:rsidR="00076BD3" w:rsidRPr="002623A0" w:rsidRDefault="00076BD3" w:rsidP="00076BD3">
            <w:pPr>
              <w:widowControl w:val="0"/>
              <w:spacing w:before="0" w:after="0"/>
              <w:ind w:left="0" w:firstLine="0"/>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«ԿՈՎԻՍՏԱ» ՍՊԸ</w:t>
            </w:r>
          </w:p>
        </w:tc>
        <w:tc>
          <w:tcPr>
            <w:tcW w:w="1980" w:type="dxa"/>
            <w:gridSpan w:val="7"/>
            <w:shd w:val="clear" w:color="auto" w:fill="auto"/>
            <w:vAlign w:val="center"/>
          </w:tcPr>
          <w:p w14:paraId="2183B64C" w14:textId="7B3C1407" w:rsidR="00076BD3" w:rsidRPr="0042726F" w:rsidRDefault="00076BD3" w:rsidP="00076BD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ՀՄԱԾՁԲ-2026/ԱԽ-46</w:t>
            </w:r>
          </w:p>
        </w:tc>
        <w:tc>
          <w:tcPr>
            <w:tcW w:w="1273" w:type="dxa"/>
            <w:gridSpan w:val="3"/>
            <w:shd w:val="clear" w:color="auto" w:fill="auto"/>
            <w:vAlign w:val="center"/>
          </w:tcPr>
          <w:p w14:paraId="54F54951" w14:textId="6753CA1C"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09.06.2026թ.</w:t>
            </w:r>
          </w:p>
        </w:tc>
        <w:tc>
          <w:tcPr>
            <w:tcW w:w="2237" w:type="dxa"/>
            <w:gridSpan w:val="6"/>
            <w:shd w:val="clear" w:color="auto" w:fill="auto"/>
            <w:vAlign w:val="center"/>
          </w:tcPr>
          <w:p w14:paraId="610A7BBF" w14:textId="5D72CF0F"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29.12.2026թ.</w:t>
            </w:r>
          </w:p>
        </w:tc>
        <w:tc>
          <w:tcPr>
            <w:tcW w:w="745" w:type="dxa"/>
            <w:gridSpan w:val="2"/>
            <w:shd w:val="clear" w:color="auto" w:fill="auto"/>
            <w:vAlign w:val="center"/>
          </w:tcPr>
          <w:p w14:paraId="6A3A27A0"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5E1FC6A2" w:rsidR="00076BD3" w:rsidRPr="00873F5F"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sidRPr="00076BD3">
              <w:rPr>
                <w:rFonts w:ascii="GHEA Grapalat" w:eastAsia="Times New Roman" w:hAnsi="GHEA Grapalat"/>
                <w:b/>
                <w:sz w:val="16"/>
                <w:szCs w:val="14"/>
                <w:lang w:eastAsia="ru-RU"/>
              </w:rPr>
              <w:t>1 964 400</w:t>
            </w:r>
          </w:p>
        </w:tc>
        <w:tc>
          <w:tcPr>
            <w:tcW w:w="1644" w:type="dxa"/>
            <w:shd w:val="clear" w:color="auto" w:fill="auto"/>
            <w:vAlign w:val="center"/>
          </w:tcPr>
          <w:p w14:paraId="6043A549" w14:textId="14DFBBCC" w:rsidR="00076BD3" w:rsidRPr="00873F5F"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sidRPr="00076BD3">
              <w:rPr>
                <w:rFonts w:ascii="GHEA Grapalat" w:eastAsia="Times New Roman" w:hAnsi="GHEA Grapalat"/>
                <w:b/>
                <w:sz w:val="16"/>
                <w:szCs w:val="14"/>
                <w:lang w:eastAsia="ru-RU"/>
              </w:rPr>
              <w:t>1 964 400</w:t>
            </w:r>
          </w:p>
        </w:tc>
      </w:tr>
      <w:tr w:rsidR="00076BD3" w:rsidRPr="000A7409" w14:paraId="1BC87054" w14:textId="77777777" w:rsidTr="009E3B8A">
        <w:trPr>
          <w:trHeight w:val="349"/>
        </w:trPr>
        <w:tc>
          <w:tcPr>
            <w:tcW w:w="2336" w:type="dxa"/>
            <w:gridSpan w:val="4"/>
            <w:shd w:val="clear" w:color="auto" w:fill="auto"/>
            <w:vAlign w:val="center"/>
          </w:tcPr>
          <w:p w14:paraId="6FC9E825" w14:textId="2A647A9D" w:rsidR="00076BD3" w:rsidRPr="00EC7CE2"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076BD3" w:rsidRPr="002623A0" w:rsidRDefault="00076BD3" w:rsidP="00076BD3">
            <w:pPr>
              <w:widowControl w:val="0"/>
              <w:spacing w:before="0" w:after="0"/>
              <w:ind w:left="0" w:firstLine="0"/>
              <w:rPr>
                <w:rFonts w:ascii="GHEA Grapalat" w:eastAsia="Times New Roman" w:hAnsi="GHEA Grapalat" w:cs="Sylfaen"/>
                <w:sz w:val="16"/>
                <w:szCs w:val="14"/>
                <w:lang w:val="hy-AM" w:eastAsia="ru-RU"/>
              </w:rPr>
            </w:pPr>
          </w:p>
        </w:tc>
      </w:tr>
      <w:tr w:rsidR="00076BD3" w:rsidRPr="000A7409" w14:paraId="41E4ED39" w14:textId="77777777" w:rsidTr="00AD3A79">
        <w:trPr>
          <w:trHeight w:val="150"/>
        </w:trPr>
        <w:tc>
          <w:tcPr>
            <w:tcW w:w="11520" w:type="dxa"/>
            <w:gridSpan w:val="28"/>
            <w:shd w:val="clear" w:color="auto" w:fill="auto"/>
            <w:vAlign w:val="center"/>
          </w:tcPr>
          <w:p w14:paraId="7265AE84" w14:textId="77777777" w:rsidR="00076BD3" w:rsidRPr="003A21A2" w:rsidRDefault="00076BD3" w:rsidP="00076BD3">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076BD3"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076BD3" w:rsidRPr="00DD0CA0"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076BD3" w:rsidRPr="002623A0"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0702F2A5" w:rsidR="00076BD3" w:rsidRPr="00812CD8"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«ԿՈՎԻՍՏԱ» ՍՊԸ</w:t>
            </w:r>
          </w:p>
        </w:tc>
        <w:tc>
          <w:tcPr>
            <w:tcW w:w="3330" w:type="dxa"/>
            <w:gridSpan w:val="11"/>
            <w:tcBorders>
              <w:bottom w:val="single" w:sz="8" w:space="0" w:color="auto"/>
            </w:tcBorders>
            <w:shd w:val="clear" w:color="auto" w:fill="auto"/>
            <w:vAlign w:val="center"/>
          </w:tcPr>
          <w:p w14:paraId="4916BA54" w14:textId="296A3E15" w:rsidR="00076BD3" w:rsidRPr="00C276E3" w:rsidRDefault="00076BD3" w:rsidP="00076BD3">
            <w:pPr>
              <w:widowControl w:val="0"/>
              <w:spacing w:before="0" w:after="0"/>
              <w:ind w:left="0" w:firstLine="0"/>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ք. Երևան, Արշակունյաց պ., 2</w:t>
            </w:r>
          </w:p>
        </w:tc>
        <w:tc>
          <w:tcPr>
            <w:tcW w:w="2070" w:type="dxa"/>
            <w:gridSpan w:val="4"/>
            <w:tcBorders>
              <w:bottom w:val="single" w:sz="8" w:space="0" w:color="auto"/>
            </w:tcBorders>
            <w:shd w:val="clear" w:color="auto" w:fill="auto"/>
            <w:vAlign w:val="center"/>
          </w:tcPr>
          <w:p w14:paraId="07F71670" w14:textId="07887D92" w:rsidR="00076BD3" w:rsidRPr="00076BD3" w:rsidRDefault="00076BD3" w:rsidP="00076BD3">
            <w:pPr>
              <w:widowControl w:val="0"/>
              <w:spacing w:before="0" w:after="0"/>
              <w:ind w:left="0" w:firstLine="0"/>
              <w:jc w:val="center"/>
              <w:rPr>
                <w:rFonts w:ascii="Sylfaen" w:eastAsia="Times New Roman" w:hAnsi="Sylfaen"/>
                <w:b/>
                <w:sz w:val="20"/>
                <w:szCs w:val="20"/>
                <w:lang w:val="hy-AM" w:eastAsia="ru-RU"/>
              </w:rPr>
            </w:pPr>
            <w:hyperlink r:id="rId8" w:history="1">
              <w:r w:rsidRPr="00D30443">
                <w:rPr>
                  <w:rStyle w:val="Hyperlink"/>
                </w:rPr>
                <w:t>covista24@gmail.com</w:t>
              </w:r>
            </w:hyperlink>
            <w:r>
              <w:rPr>
                <w:rFonts w:ascii="Sylfaen" w:hAnsi="Sylfaen"/>
                <w:lang w:val="hy-AM"/>
              </w:rPr>
              <w:t xml:space="preserve"> </w:t>
            </w:r>
          </w:p>
        </w:tc>
        <w:tc>
          <w:tcPr>
            <w:tcW w:w="1800" w:type="dxa"/>
            <w:gridSpan w:val="7"/>
            <w:tcBorders>
              <w:bottom w:val="single" w:sz="8" w:space="0" w:color="auto"/>
            </w:tcBorders>
            <w:shd w:val="clear" w:color="auto" w:fill="auto"/>
            <w:vAlign w:val="center"/>
          </w:tcPr>
          <w:p w14:paraId="2D248C13" w14:textId="60A48B83" w:rsidR="00076BD3" w:rsidRPr="0042726F"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220473335291000</w:t>
            </w:r>
          </w:p>
        </w:tc>
        <w:tc>
          <w:tcPr>
            <w:tcW w:w="1984" w:type="dxa"/>
            <w:gridSpan w:val="2"/>
            <w:tcBorders>
              <w:bottom w:val="single" w:sz="8" w:space="0" w:color="auto"/>
            </w:tcBorders>
            <w:shd w:val="clear" w:color="auto" w:fill="auto"/>
            <w:vAlign w:val="center"/>
          </w:tcPr>
          <w:p w14:paraId="6E1E7005" w14:textId="25991F59" w:rsidR="00076BD3" w:rsidRPr="00DD0CA0"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076BD3">
              <w:rPr>
                <w:rFonts w:ascii="GHEA Grapalat" w:eastAsia="Times New Roman" w:hAnsi="GHEA Grapalat"/>
                <w:b/>
                <w:sz w:val="16"/>
                <w:szCs w:val="14"/>
                <w:lang w:val="hy-AM" w:eastAsia="ru-RU"/>
              </w:rPr>
              <w:t>02919007</w:t>
            </w:r>
          </w:p>
        </w:tc>
      </w:tr>
      <w:tr w:rsidR="00076BD3" w:rsidRPr="00DD0CA0" w14:paraId="496A046D" w14:textId="77777777" w:rsidTr="00AD3A79">
        <w:trPr>
          <w:trHeight w:val="288"/>
        </w:trPr>
        <w:tc>
          <w:tcPr>
            <w:tcW w:w="11520" w:type="dxa"/>
            <w:gridSpan w:val="28"/>
            <w:shd w:val="clear" w:color="auto" w:fill="99CCFF"/>
            <w:vAlign w:val="center"/>
          </w:tcPr>
          <w:p w14:paraId="393BE26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4028C2"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076BD3" w:rsidRPr="002623A0" w:rsidRDefault="00076BD3" w:rsidP="00076BD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076BD3" w:rsidRPr="002623A0" w:rsidRDefault="00076BD3" w:rsidP="00076BD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076BD3" w:rsidRPr="004028C2" w14:paraId="485BF528" w14:textId="77777777" w:rsidTr="00AD3A79">
        <w:trPr>
          <w:trHeight w:val="288"/>
        </w:trPr>
        <w:tc>
          <w:tcPr>
            <w:tcW w:w="11520" w:type="dxa"/>
            <w:gridSpan w:val="28"/>
            <w:shd w:val="clear" w:color="auto" w:fill="99CCFF"/>
            <w:vAlign w:val="center"/>
          </w:tcPr>
          <w:p w14:paraId="60FF974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4028C2" w14:paraId="7DB42300" w14:textId="77777777" w:rsidTr="00AD3A79">
        <w:trPr>
          <w:trHeight w:val="288"/>
        </w:trPr>
        <w:tc>
          <w:tcPr>
            <w:tcW w:w="11520" w:type="dxa"/>
            <w:gridSpan w:val="28"/>
            <w:shd w:val="clear" w:color="auto" w:fill="auto"/>
            <w:vAlign w:val="center"/>
          </w:tcPr>
          <w:p w14:paraId="0AD8E25E" w14:textId="6DE0BA6E" w:rsidR="00076BD3" w:rsidRPr="002623A0" w:rsidRDefault="00076BD3" w:rsidP="00076BD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076BD3" w:rsidRPr="002623A0" w:rsidRDefault="00076BD3" w:rsidP="00076BD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76BD3" w:rsidRPr="002623A0" w:rsidRDefault="00076BD3" w:rsidP="00076BD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76BD3" w:rsidRPr="002623A0" w:rsidRDefault="00076BD3" w:rsidP="00076BD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3558FE7" w:rsidR="00076BD3" w:rsidRPr="00AD76E3" w:rsidRDefault="00076BD3" w:rsidP="00076BD3">
            <w:pPr>
              <w:widowControl w:val="0"/>
              <w:spacing w:before="0" w:after="0"/>
              <w:ind w:left="0" w:firstLine="0"/>
              <w:jc w:val="both"/>
              <w:rPr>
                <w:rFonts w:ascii="GHEA Grapalat" w:eastAsia="Times New Roman" w:hAnsi="GHEA Grapalat"/>
                <w:b/>
                <w:sz w:val="16"/>
                <w:szCs w:val="14"/>
                <w:lang w:val="hy-AM" w:eastAsia="ru-RU"/>
              </w:rPr>
            </w:pPr>
            <w:bookmarkStart w:id="0" w:name="_GoBack"/>
            <w:bookmarkEnd w:id="0"/>
          </w:p>
        </w:tc>
      </w:tr>
      <w:tr w:rsidR="00076BD3" w:rsidRPr="004028C2" w14:paraId="3CC8B38C" w14:textId="77777777" w:rsidTr="00AD3A79">
        <w:trPr>
          <w:trHeight w:val="288"/>
        </w:trPr>
        <w:tc>
          <w:tcPr>
            <w:tcW w:w="11520" w:type="dxa"/>
            <w:gridSpan w:val="28"/>
            <w:shd w:val="clear" w:color="auto" w:fill="99CCFF"/>
            <w:vAlign w:val="center"/>
          </w:tcPr>
          <w:p w14:paraId="02AFA8B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076BD3" w:rsidRPr="002623A0" w:rsidRDefault="00076BD3" w:rsidP="00076BD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076BD3" w:rsidRPr="002623A0" w:rsidRDefault="00076BD3" w:rsidP="00076BD3">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076BD3" w:rsidRPr="00515E4C" w14:paraId="5A7FED5D" w14:textId="77777777" w:rsidTr="00AD3A79">
        <w:trPr>
          <w:trHeight w:val="288"/>
        </w:trPr>
        <w:tc>
          <w:tcPr>
            <w:tcW w:w="11520" w:type="dxa"/>
            <w:gridSpan w:val="28"/>
            <w:shd w:val="clear" w:color="auto" w:fill="99CCFF"/>
            <w:vAlign w:val="center"/>
          </w:tcPr>
          <w:p w14:paraId="0C88E28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4028C2"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076BD3" w:rsidRPr="002623A0" w:rsidRDefault="00076BD3" w:rsidP="00076BD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076BD3" w:rsidRPr="002623A0" w:rsidRDefault="00076BD3" w:rsidP="00076BD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076BD3" w:rsidRPr="004028C2"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4028C2"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076BD3" w:rsidRPr="002623A0" w:rsidRDefault="00076BD3" w:rsidP="00076BD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076BD3" w:rsidRPr="002623A0" w:rsidRDefault="00076BD3" w:rsidP="00076BD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076BD3" w:rsidRPr="004028C2" w14:paraId="1DAD5D5C" w14:textId="77777777" w:rsidTr="00AD3A79">
        <w:trPr>
          <w:trHeight w:val="288"/>
        </w:trPr>
        <w:tc>
          <w:tcPr>
            <w:tcW w:w="11520" w:type="dxa"/>
            <w:gridSpan w:val="28"/>
            <w:shd w:val="clear" w:color="auto" w:fill="99CCFF"/>
            <w:vAlign w:val="center"/>
          </w:tcPr>
          <w:p w14:paraId="57597369"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076BD3" w:rsidRPr="002623A0" w:rsidRDefault="00076BD3" w:rsidP="00076BD3">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076BD3" w:rsidRPr="002623A0" w:rsidRDefault="00076BD3" w:rsidP="00076BD3">
            <w:pPr>
              <w:tabs>
                <w:tab w:val="left" w:pos="1248"/>
              </w:tabs>
              <w:spacing w:before="0" w:after="0"/>
              <w:ind w:left="0" w:firstLine="0"/>
              <w:rPr>
                <w:rFonts w:ascii="GHEA Grapalat" w:eastAsia="Times New Roman" w:hAnsi="GHEA Grapalat"/>
                <w:b/>
                <w:bCs/>
                <w:sz w:val="16"/>
                <w:szCs w:val="14"/>
                <w:lang w:eastAsia="ru-RU"/>
              </w:rPr>
            </w:pPr>
          </w:p>
        </w:tc>
      </w:tr>
      <w:tr w:rsidR="00076BD3" w:rsidRPr="002623A0" w14:paraId="406B68D6" w14:textId="77777777" w:rsidTr="00AD3A79">
        <w:trPr>
          <w:trHeight w:val="288"/>
        </w:trPr>
        <w:tc>
          <w:tcPr>
            <w:tcW w:w="11520" w:type="dxa"/>
            <w:gridSpan w:val="28"/>
            <w:shd w:val="clear" w:color="auto" w:fill="99CCFF"/>
            <w:vAlign w:val="center"/>
          </w:tcPr>
          <w:p w14:paraId="79EAD14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1A2BD291" w14:textId="77777777" w:rsidTr="00AD3A79">
        <w:trPr>
          <w:trHeight w:val="227"/>
        </w:trPr>
        <w:tc>
          <w:tcPr>
            <w:tcW w:w="11520" w:type="dxa"/>
            <w:gridSpan w:val="28"/>
            <w:shd w:val="clear" w:color="auto" w:fill="auto"/>
            <w:vAlign w:val="center"/>
          </w:tcPr>
          <w:p w14:paraId="73A19DB3" w14:textId="77777777" w:rsidR="00076BD3" w:rsidRPr="002623A0" w:rsidRDefault="00076BD3" w:rsidP="00076BD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76BD3"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076BD3" w:rsidRPr="002623A0" w:rsidRDefault="00076BD3" w:rsidP="00076BD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076BD3" w:rsidRPr="002623A0" w:rsidRDefault="00076BD3" w:rsidP="00076BD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076BD3" w:rsidRPr="002623A0" w:rsidRDefault="00076BD3" w:rsidP="00076BD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076BD3" w:rsidRPr="002623A0" w14:paraId="6C6C269C" w14:textId="77777777" w:rsidTr="009E3B8A">
        <w:trPr>
          <w:trHeight w:val="47"/>
        </w:trPr>
        <w:tc>
          <w:tcPr>
            <w:tcW w:w="3017" w:type="dxa"/>
            <w:gridSpan w:val="6"/>
            <w:shd w:val="clear" w:color="auto" w:fill="auto"/>
            <w:vAlign w:val="center"/>
          </w:tcPr>
          <w:p w14:paraId="0A862370" w14:textId="6E85B6A0" w:rsidR="00076BD3" w:rsidRPr="002623A0" w:rsidRDefault="00076BD3" w:rsidP="00076BD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076BD3" w:rsidRPr="00FC7B38" w:rsidRDefault="00076BD3" w:rsidP="00076BD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076BD3" w:rsidRPr="002623A0" w:rsidRDefault="00076BD3" w:rsidP="00076BD3">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0"/>
      <w:footerReference w:type="default" r:id="rId11"/>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56AF" w14:textId="77777777" w:rsidR="00813E23" w:rsidRDefault="00813E23" w:rsidP="0022631D">
      <w:pPr>
        <w:spacing w:before="0" w:after="0"/>
      </w:pPr>
      <w:r>
        <w:separator/>
      </w:r>
    </w:p>
  </w:endnote>
  <w:endnote w:type="continuationSeparator" w:id="0">
    <w:p w14:paraId="52D1488D" w14:textId="77777777" w:rsidR="00813E23" w:rsidRDefault="00813E2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E8751" w14:textId="77777777" w:rsidR="00813E23" w:rsidRDefault="00813E23" w:rsidP="0022631D">
      <w:pPr>
        <w:spacing w:before="0" w:after="0"/>
      </w:pPr>
      <w:r>
        <w:separator/>
      </w:r>
    </w:p>
  </w:footnote>
  <w:footnote w:type="continuationSeparator" w:id="0">
    <w:p w14:paraId="6AD86D2A" w14:textId="77777777" w:rsidR="00813E23" w:rsidRDefault="00813E2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6BD3"/>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03814"/>
    <w:rsid w:val="00111DD7"/>
    <w:rsid w:val="00116D5F"/>
    <w:rsid w:val="00130554"/>
    <w:rsid w:val="001462AC"/>
    <w:rsid w:val="001600C9"/>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03736"/>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3C57"/>
    <w:rsid w:val="003142CF"/>
    <w:rsid w:val="00316FE4"/>
    <w:rsid w:val="00333F1A"/>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028C2"/>
    <w:rsid w:val="004160E5"/>
    <w:rsid w:val="004160F4"/>
    <w:rsid w:val="0042726F"/>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D6C19"/>
    <w:rsid w:val="004E376E"/>
    <w:rsid w:val="004E7F04"/>
    <w:rsid w:val="004F6A07"/>
    <w:rsid w:val="004F6F98"/>
    <w:rsid w:val="004F77A1"/>
    <w:rsid w:val="0050082C"/>
    <w:rsid w:val="00503BCC"/>
    <w:rsid w:val="00505898"/>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1971"/>
    <w:rsid w:val="00646760"/>
    <w:rsid w:val="00646923"/>
    <w:rsid w:val="00657858"/>
    <w:rsid w:val="006607A0"/>
    <w:rsid w:val="00664459"/>
    <w:rsid w:val="006656B5"/>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119D"/>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3E23"/>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D76E3"/>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05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0280"/>
    <w:rsid w:val="00D52964"/>
    <w:rsid w:val="00D63380"/>
    <w:rsid w:val="00D63C9C"/>
    <w:rsid w:val="00D80C64"/>
    <w:rsid w:val="00D82D05"/>
    <w:rsid w:val="00D82E36"/>
    <w:rsid w:val="00D84488"/>
    <w:rsid w:val="00DA47F7"/>
    <w:rsid w:val="00DC1A77"/>
    <w:rsid w:val="00DC23A2"/>
    <w:rsid w:val="00DC6E33"/>
    <w:rsid w:val="00DC77E7"/>
    <w:rsid w:val="00DD055F"/>
    <w:rsid w:val="00DD0CA0"/>
    <w:rsid w:val="00DD18B0"/>
    <w:rsid w:val="00DD2243"/>
    <w:rsid w:val="00DD31C5"/>
    <w:rsid w:val="00DE06F1"/>
    <w:rsid w:val="00DE41D6"/>
    <w:rsid w:val="00DE6928"/>
    <w:rsid w:val="00DF081E"/>
    <w:rsid w:val="00DF7573"/>
    <w:rsid w:val="00E02028"/>
    <w:rsid w:val="00E22B7E"/>
    <w:rsid w:val="00E243EA"/>
    <w:rsid w:val="00E2448C"/>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966EE"/>
    <w:rsid w:val="00FA48EC"/>
    <w:rsid w:val="00FA6BE7"/>
    <w:rsid w:val="00FB097B"/>
    <w:rsid w:val="00FB11E9"/>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sta2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ice_gnumner@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64C3-2B54-4A45-BE02-8F0B57E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318</cp:revision>
  <cp:lastPrinted>2025-09-01T11:59:00Z</cp:lastPrinted>
  <dcterms:created xsi:type="dcterms:W3CDTF">2021-06-28T12:08:00Z</dcterms:created>
  <dcterms:modified xsi:type="dcterms:W3CDTF">2026-06-10T08:10:00Z</dcterms:modified>
</cp:coreProperties>
</file>