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77777777" w:rsidR="0022631D" w:rsidRPr="0048258C" w:rsidRDefault="0022631D" w:rsidP="001404AC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48258C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48258C" w:rsidRDefault="0022631D" w:rsidP="001404AC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48258C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48258C" w:rsidRDefault="000B0199" w:rsidP="001404AC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48258C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48258C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48258C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48258C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04185CF3" w:rsidR="0022631D" w:rsidRPr="0048258C" w:rsidRDefault="0022631D" w:rsidP="001404AC">
      <w:pPr>
        <w:spacing w:before="0" w:after="0"/>
        <w:ind w:left="0" w:firstLine="72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8258C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B02D461" w14:textId="77777777" w:rsidR="0022631D" w:rsidRPr="0048258C" w:rsidRDefault="0022631D" w:rsidP="001404AC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8258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48258C" w:rsidRDefault="0022631D" w:rsidP="001404AC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8258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3C60A6A" w:rsidR="0022631D" w:rsidRPr="0048258C" w:rsidRDefault="0048258C" w:rsidP="001404AC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F83B52">
        <w:rPr>
          <w:rFonts w:ascii="Arial" w:hAnsi="Arial" w:cs="Arial"/>
          <w:b/>
          <w:sz w:val="20"/>
          <w:szCs w:val="20"/>
          <w:lang w:val="af-ZA"/>
        </w:rPr>
        <w:t>«</w:t>
      </w:r>
      <w:r w:rsidRPr="00F83B52">
        <w:rPr>
          <w:rFonts w:ascii="Arial" w:hAnsi="Arial" w:cs="Arial"/>
          <w:b/>
          <w:sz w:val="20"/>
          <w:szCs w:val="20"/>
          <w:lang w:val="hy-AM"/>
        </w:rPr>
        <w:t>Արմավիրի թիվ 8 հիմնական դպրոց</w:t>
      </w:r>
      <w:r w:rsidRPr="00F83B52">
        <w:rPr>
          <w:rFonts w:ascii="Arial" w:hAnsi="Arial" w:cs="Arial"/>
          <w:b/>
          <w:sz w:val="20"/>
          <w:szCs w:val="20"/>
          <w:lang w:val="af-ZA"/>
        </w:rPr>
        <w:t xml:space="preserve">» </w:t>
      </w:r>
      <w:r w:rsidRPr="00F83B52">
        <w:rPr>
          <w:rFonts w:ascii="Arial" w:hAnsi="Arial" w:cs="Arial"/>
          <w:b/>
          <w:sz w:val="20"/>
          <w:szCs w:val="20"/>
          <w:lang w:val="hy-AM"/>
        </w:rPr>
        <w:t>ՊՈԱԿ</w:t>
      </w:r>
      <w:r w:rsidRPr="00973B2C">
        <w:rPr>
          <w:rFonts w:ascii="Sylfaen" w:hAnsi="Sylfaen" w:cs="Sylfaen"/>
          <w:sz w:val="20"/>
          <w:lang w:val="af-ZA"/>
        </w:rPr>
        <w:t xml:space="preserve"> </w:t>
      </w:r>
      <w:r w:rsidR="00B66959" w:rsidRPr="0048258C">
        <w:rPr>
          <w:rFonts w:ascii="Sylfaen" w:hAnsi="Sylfaen" w:cs="Sylfaen"/>
          <w:bCs/>
          <w:sz w:val="20"/>
          <w:lang w:val="af-ZA"/>
        </w:rPr>
        <w:t>-</w:t>
      </w:r>
      <w:r w:rsidR="001404AC" w:rsidRPr="0048258C">
        <w:rPr>
          <w:rFonts w:ascii="Sylfaen" w:hAnsi="Sylfaen" w:cs="Sylfaen"/>
          <w:sz w:val="20"/>
          <w:lang w:val="af-ZA"/>
        </w:rPr>
        <w:t>ը</w:t>
      </w:r>
      <w:r w:rsidR="0022631D" w:rsidRPr="0048258C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1404AC" w:rsidRPr="0048258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A0F72" w:rsidRPr="0048258C">
        <w:rPr>
          <w:rFonts w:ascii="Sylfaen" w:hAnsi="Sylfaen"/>
          <w:sz w:val="20"/>
          <w:lang w:val="es-ES"/>
        </w:rPr>
        <w:t xml:space="preserve">ՀՀ </w:t>
      </w:r>
      <w:r>
        <w:rPr>
          <w:rFonts w:ascii="Sylfaen" w:hAnsi="Sylfaen"/>
          <w:sz w:val="20"/>
          <w:lang w:val="hy-AM"/>
        </w:rPr>
        <w:t>Արմավիրի</w:t>
      </w:r>
      <w:r w:rsidR="002A0F72" w:rsidRPr="0048258C">
        <w:rPr>
          <w:rFonts w:ascii="Sylfaen" w:hAnsi="Sylfaen"/>
          <w:sz w:val="20"/>
          <w:lang w:val="es-ES"/>
        </w:rPr>
        <w:t xml:space="preserve"> մարզ, </w:t>
      </w:r>
      <w:r>
        <w:rPr>
          <w:rFonts w:ascii="Sylfaen" w:hAnsi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>․ Արմավիր, Աբովյան 182</w:t>
      </w:r>
      <w:r w:rsidR="002A612D" w:rsidRPr="0048258C">
        <w:rPr>
          <w:rFonts w:ascii="Sylfaen" w:hAnsi="Sylfaen"/>
          <w:sz w:val="20"/>
          <w:lang w:val="hy-AM"/>
        </w:rPr>
        <w:t xml:space="preserve"> </w:t>
      </w:r>
      <w:r w:rsidR="0022631D" w:rsidRPr="0048258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1404AC" w:rsidRPr="0048258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Sylfaen" w:eastAsia="Times New Roman" w:hAnsi="Sylfaen" w:cs="Sylfaen"/>
          <w:sz w:val="20"/>
          <w:szCs w:val="20"/>
          <w:lang w:val="hy-AM" w:eastAsia="ru-RU"/>
        </w:rPr>
        <w:t>սննդամթերքի</w:t>
      </w:r>
      <w:r w:rsidR="001404AC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F83B52">
        <w:rPr>
          <w:rFonts w:ascii="Arial" w:hAnsi="Arial" w:cs="Arial"/>
          <w:b/>
          <w:lang w:val="hy-AM"/>
        </w:rPr>
        <w:t>«</w:t>
      </w:r>
      <w:r w:rsidRPr="00F83B52">
        <w:rPr>
          <w:rFonts w:ascii="Arial" w:hAnsi="Arial" w:cs="Arial"/>
          <w:b/>
          <w:lang w:val="af-ZA"/>
        </w:rPr>
        <w:t>ԱԹ8ՀԴ-</w:t>
      </w:r>
      <w:r w:rsidRPr="00F83B52">
        <w:rPr>
          <w:rFonts w:ascii="Arial" w:hAnsi="Arial" w:cs="Arial"/>
          <w:b/>
          <w:lang w:val="hy-AM"/>
        </w:rPr>
        <w:t>ՀՄԱ</w:t>
      </w:r>
      <w:r w:rsidRPr="00F83B52">
        <w:rPr>
          <w:rFonts w:ascii="Arial" w:hAnsi="Arial" w:cs="Arial"/>
          <w:b/>
          <w:lang w:val="af-ZA"/>
        </w:rPr>
        <w:t>/ԱՊՁԲ-2024/</w:t>
      </w:r>
      <w:r w:rsidRPr="00F83B52">
        <w:rPr>
          <w:rFonts w:ascii="Arial" w:hAnsi="Arial" w:cs="Arial"/>
          <w:b/>
          <w:lang w:val="hy-AM"/>
        </w:rPr>
        <w:t>1»</w:t>
      </w:r>
      <w:r>
        <w:rPr>
          <w:rFonts w:ascii="Arial" w:hAnsi="Arial" w:cs="Arial"/>
          <w:b/>
          <w:lang w:val="hy-AM"/>
        </w:rPr>
        <w:t xml:space="preserve"> </w:t>
      </w:r>
      <w:r w:rsidR="0022631D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48258C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48258C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74"/>
        <w:gridCol w:w="1170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519"/>
        <w:gridCol w:w="84"/>
        <w:gridCol w:w="8"/>
        <w:gridCol w:w="86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48258C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8258C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825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825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8258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4825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4825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48258C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8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48258C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48258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48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48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8258C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8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8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4825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825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8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8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339F3" w:rsidRPr="0048258C" w14:paraId="6CB0AC86" w14:textId="77777777" w:rsidTr="00D339F3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0A8D8DF9" w:rsidR="00D339F3" w:rsidRPr="007255A7" w:rsidRDefault="007255A7" w:rsidP="00D339F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</w:pPr>
            <w:r w:rsidRPr="007255A7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38C3B82" w:rsidR="00D339F3" w:rsidRPr="007255A7" w:rsidRDefault="007255A7" w:rsidP="00D339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  <w:r w:rsidRPr="007255A7"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5D3D0F4" w:rsidR="00D339F3" w:rsidRPr="007255A7" w:rsidRDefault="007255A7" w:rsidP="00D339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  <w:r w:rsidRPr="007255A7"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01D0488" w:rsidR="00D339F3" w:rsidRPr="0048258C" w:rsidRDefault="00D339F3" w:rsidP="00D339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00CA4B3" w:rsidR="00D339F3" w:rsidRPr="0048258C" w:rsidRDefault="007255A7" w:rsidP="00D339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83B52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1548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4F4CCDD" w:rsidR="00D339F3" w:rsidRPr="0048258C" w:rsidRDefault="00D339F3" w:rsidP="00D339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FFB5B62" w:rsidR="00D339F3" w:rsidRPr="0048258C" w:rsidRDefault="007255A7" w:rsidP="00D339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83B52">
              <w:rPr>
                <w:rFonts w:ascii="Arial" w:hAnsi="Arial" w:cs="Arial"/>
                <w:b/>
                <w:sz w:val="20"/>
                <w:szCs w:val="20"/>
                <w:lang w:val="hy-AM"/>
              </w:rPr>
              <w:t>330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E7258" w14:textId="77777777" w:rsidR="007255A7" w:rsidRPr="007255A7" w:rsidRDefault="007255A7" w:rsidP="007255A7">
            <w:pPr>
              <w:rPr>
                <w:rFonts w:ascii="Arial" w:hAnsi="Arial" w:cs="Arial"/>
                <w:b/>
                <w:sz w:val="12"/>
                <w:szCs w:val="12"/>
                <w:lang w:val="hy-AM"/>
              </w:rPr>
            </w:pPr>
            <w:r w:rsidRPr="007255A7">
              <w:rPr>
                <w:rFonts w:ascii="Arial" w:hAnsi="Arial" w:cs="Arial"/>
                <w:b/>
                <w:sz w:val="12"/>
                <w:szCs w:val="12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</w:p>
          <w:p w14:paraId="5152B32D" w14:textId="58455862" w:rsidR="00D339F3" w:rsidRPr="007255A7" w:rsidRDefault="007255A7" w:rsidP="007255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7255A7">
              <w:rPr>
                <w:rFonts w:ascii="Arial" w:hAnsi="Arial" w:cs="Arial"/>
                <w:b/>
                <w:sz w:val="12"/>
                <w:szCs w:val="12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AB2838" w:rsidRPr="0048258C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222C988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«Գնումների մասին» ՀՀ օրենքի </w:t>
            </w:r>
            <w:r w:rsidR="00F25BCB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23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-րդ հոդված</w:t>
            </w:r>
            <w:r w:rsidR="00A62FD3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1-ին մաս 2-րդ կետ</w:t>
            </w:r>
            <w:r w:rsidR="00AE1217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։</w:t>
            </w:r>
            <w:r w:rsidR="00AE1217" w:rsidRPr="0048258C">
              <w:rPr>
                <w:rFonts w:ascii="Sylfaen" w:hAnsi="Sylfaen"/>
                <w:lang w:val="hy-AM"/>
              </w:rPr>
              <w:t xml:space="preserve"> </w:t>
            </w:r>
            <w:r w:rsidR="00AE1217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ՀՀ կառավարության 04/05/17թ. N 526-Ն որոշմամբ հաստատված «Գնումների գործընթացի կազմակերպման» կարգի 21-րդ կետի 1-ին ենթակետի դ. պարբերությունը և 71–րդ կետի 1-ին ենթակետի ա</w:t>
            </w:r>
            <w:r w:rsidR="00AE1217" w:rsidRPr="0048258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AE1217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AE1217" w:rsidRPr="0048258C">
              <w:rPr>
                <w:rFonts w:ascii="Sylfaen" w:eastAsia="Times New Roman" w:hAnsi="Sylfaen" w:cs="GHEA Grapalat"/>
                <w:b/>
                <w:sz w:val="14"/>
                <w:szCs w:val="14"/>
                <w:lang w:val="hy-AM" w:eastAsia="ru-RU"/>
              </w:rPr>
              <w:t>պարբերությունը։</w:t>
            </w:r>
            <w:r w:rsidR="00AE1217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AB2838" w:rsidRPr="0048258C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03C8BCA" w:rsidR="00AB2838" w:rsidRPr="0048258C" w:rsidRDefault="00797D3B" w:rsidP="007255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</w:t>
            </w:r>
            <w:r w:rsidR="007255A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  <w:r w:rsidR="00BC5561" w:rsidRPr="0048258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7255A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01</w:t>
            </w:r>
            <w:r w:rsidR="00BC5561" w:rsidRPr="0048258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BC5561"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</w:t>
            </w:r>
            <w:r w:rsidR="007255A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</w:t>
            </w:r>
            <w:r w:rsidR="00BC5561" w:rsidRPr="0048258C">
              <w:rPr>
                <w:rFonts w:ascii="Sylfaen" w:eastAsia="Times New Roman" w:hAnsi="Sylfaen" w:cs="GHEA Grapalat"/>
                <w:b/>
                <w:sz w:val="14"/>
                <w:szCs w:val="14"/>
                <w:lang w:val="hy-AM" w:eastAsia="ru-RU"/>
              </w:rPr>
              <w:t>թ</w:t>
            </w:r>
            <w:r w:rsidR="00BC5561" w:rsidRPr="0048258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AB2838" w:rsidRPr="0048258C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6FF2DAF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B2838" w:rsidRPr="0048258C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AB2838" w:rsidRPr="0048258C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6888DAE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FB036C3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B2838" w:rsidRPr="0048258C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B2838" w:rsidRPr="0048258C" w14:paraId="10DC4861" w14:textId="77777777" w:rsidTr="007255A7">
        <w:trPr>
          <w:trHeight w:val="605"/>
        </w:trPr>
        <w:tc>
          <w:tcPr>
            <w:tcW w:w="105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B2838" w:rsidRPr="0048258C" w14:paraId="3FD00E3A" w14:textId="77777777" w:rsidTr="007255A7">
        <w:trPr>
          <w:trHeight w:val="365"/>
        </w:trPr>
        <w:tc>
          <w:tcPr>
            <w:tcW w:w="1056" w:type="dxa"/>
            <w:gridSpan w:val="3"/>
            <w:vMerge/>
            <w:shd w:val="clear" w:color="auto" w:fill="auto"/>
            <w:vAlign w:val="center"/>
          </w:tcPr>
          <w:p w14:paraId="67E5DBFB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6"/>
            <w:vMerge/>
            <w:shd w:val="clear" w:color="auto" w:fill="auto"/>
            <w:vAlign w:val="center"/>
          </w:tcPr>
          <w:p w14:paraId="7835142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B2838" w:rsidRPr="0048258C" w14:paraId="4DA511EC" w14:textId="77777777" w:rsidTr="007255A7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5DBE5B3F" w14:textId="395798E6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56" w:type="dxa"/>
            <w:gridSpan w:val="31"/>
            <w:shd w:val="clear" w:color="auto" w:fill="auto"/>
            <w:vAlign w:val="center"/>
          </w:tcPr>
          <w:p w14:paraId="6ABF72D4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7D3B" w:rsidRPr="0048258C" w14:paraId="50825522" w14:textId="77777777" w:rsidTr="007255A7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50AD5B95" w14:textId="77777777" w:rsidR="00797D3B" w:rsidRPr="0048258C" w:rsidRDefault="00797D3B" w:rsidP="00797D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64" w:type="dxa"/>
            <w:gridSpan w:val="6"/>
            <w:shd w:val="clear" w:color="auto" w:fill="auto"/>
          </w:tcPr>
          <w:p w14:paraId="259F3C98" w14:textId="7374D500" w:rsidR="00797D3B" w:rsidRPr="007255A7" w:rsidRDefault="007255A7" w:rsidP="007255A7">
            <w:pPr>
              <w:tabs>
                <w:tab w:val="left" w:pos="7410"/>
              </w:tabs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55A7">
              <w:rPr>
                <w:rFonts w:ascii="Arial" w:hAnsi="Arial" w:cs="Arial"/>
                <w:b/>
                <w:sz w:val="16"/>
                <w:szCs w:val="16"/>
                <w:lang w:val="hy-AM"/>
              </w:rPr>
              <w:t>&lt;&lt;ԱՁ Կարեն Հովսեփյան&gt;&gt;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D4AAB4A" w14:textId="5755B7F1" w:rsidR="00797D3B" w:rsidRPr="00695F3F" w:rsidRDefault="00695F3F" w:rsidP="00797D3B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695F3F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425683</w:t>
            </w:r>
          </w:p>
          <w:p w14:paraId="1D867224" w14:textId="7B58D1BD" w:rsidR="00695F3F" w:rsidRPr="00695F3F" w:rsidRDefault="00695F3F" w:rsidP="00797D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76A05FE" w:rsidR="00797D3B" w:rsidRPr="00695F3F" w:rsidRDefault="00695F3F" w:rsidP="00797D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695F3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hy-AM"/>
              </w:rPr>
              <w:t>85157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C0D04A" w14:textId="47EEAF82" w:rsidR="00695F3F" w:rsidRPr="00695F3F" w:rsidRDefault="00695F3F" w:rsidP="00695F3F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695F3F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510</w:t>
            </w:r>
            <w:r w:rsidRPr="00695F3F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 </w:t>
            </w:r>
            <w:r w:rsidRPr="00695F3F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840</w:t>
            </w:r>
          </w:p>
          <w:p w14:paraId="1F59BBB2" w14:textId="37AEF384" w:rsidR="00797D3B" w:rsidRPr="00695F3F" w:rsidRDefault="00797D3B" w:rsidP="00797D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</w:p>
        </w:tc>
      </w:tr>
      <w:tr w:rsidR="00AB2838" w:rsidRPr="0048258C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B2838" w:rsidRPr="0048258C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B2838" w:rsidRPr="0048258C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4825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B2838" w:rsidRPr="0048258C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B2838" w:rsidRPr="0048258C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AB2838" w:rsidRPr="0048258C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B2838" w:rsidRPr="0048258C" w14:paraId="1515C769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BE4E677" w:rsidR="00AB2838" w:rsidRPr="0048258C" w:rsidRDefault="00220FAE" w:rsidP="00220FA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B2838" w:rsidRPr="0048258C" w14:paraId="71BEA872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B2838" w:rsidRPr="0048258C" w14:paraId="04C801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5BB48F4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CEA7A80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B2838" w:rsidRPr="0048258C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073C587" w:rsidR="00AB2838" w:rsidRPr="0048258C" w:rsidRDefault="00AB2838" w:rsidP="00CB3C5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ամսաթիվը՝ </w:t>
            </w:r>
            <w:r w:rsidR="00CB3C5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05</w:t>
            </w:r>
            <w:r w:rsidR="00114461"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CB3C5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01</w:t>
            </w:r>
            <w:r w:rsidR="00114461"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CB3C5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</w:t>
            </w:r>
            <w:r w:rsidR="00114461"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B2838" w:rsidRPr="0048258C" w14:paraId="3C75DA26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7BB9885" w:rsidR="00AB2838" w:rsidRPr="0048258C" w:rsidRDefault="00CB3C5D" w:rsidP="00CB3C5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B2838" w:rsidRPr="0048258C" w14:paraId="0682C6BE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588726C" w:rsidR="00AB2838" w:rsidRPr="0048258C" w:rsidRDefault="00CB3C5D" w:rsidP="00CB3C5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  <w:r w:rsidR="00114461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B2838" w:rsidRPr="0048258C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B2838" w:rsidRPr="0048258C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B2838" w:rsidRPr="0048258C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B2838" w:rsidRPr="0048258C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B2838" w:rsidRPr="0048258C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379A5" w:rsidRPr="0048258C" w14:paraId="1E28D31D" w14:textId="77777777" w:rsidTr="000379A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3245602" w:rsidR="000379A5" w:rsidRPr="0048258C" w:rsidRDefault="000379A5" w:rsidP="000379A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522C495" w:rsidR="000379A5" w:rsidRPr="0048258C" w:rsidRDefault="00F77C9A" w:rsidP="000379A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255A7">
              <w:rPr>
                <w:rFonts w:ascii="Arial" w:hAnsi="Arial" w:cs="Arial"/>
                <w:b/>
                <w:sz w:val="16"/>
                <w:szCs w:val="16"/>
                <w:lang w:val="hy-AM"/>
              </w:rPr>
              <w:t>&lt;&lt;ԱՁ Կարեն Հովսեփյան&gt;&gt;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0DE2F40" w:rsidR="000379A5" w:rsidRPr="00F77C9A" w:rsidRDefault="00F77C9A" w:rsidP="000379A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77C9A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F77C9A">
              <w:rPr>
                <w:rFonts w:ascii="Arial" w:hAnsi="Arial" w:cs="Arial"/>
                <w:b/>
                <w:sz w:val="16"/>
                <w:szCs w:val="16"/>
                <w:lang w:val="af-ZA"/>
              </w:rPr>
              <w:t>ԱԹ8ՀԴ-</w:t>
            </w:r>
            <w:r w:rsidRPr="00F77C9A">
              <w:rPr>
                <w:rFonts w:ascii="Arial" w:hAnsi="Arial" w:cs="Arial"/>
                <w:b/>
                <w:sz w:val="16"/>
                <w:szCs w:val="16"/>
                <w:lang w:val="hy-AM"/>
              </w:rPr>
              <w:t>ՀՄԱ</w:t>
            </w:r>
            <w:r w:rsidRPr="00F77C9A">
              <w:rPr>
                <w:rFonts w:ascii="Arial" w:hAnsi="Arial" w:cs="Arial"/>
                <w:b/>
                <w:sz w:val="16"/>
                <w:szCs w:val="16"/>
                <w:lang w:val="af-ZA"/>
              </w:rPr>
              <w:t>/ԱՊՁԲ-2024/</w:t>
            </w:r>
            <w:r w:rsidRPr="00F77C9A">
              <w:rPr>
                <w:rFonts w:ascii="Arial" w:hAnsi="Arial" w:cs="Arial"/>
                <w:b/>
                <w:sz w:val="16"/>
                <w:szCs w:val="16"/>
                <w:lang w:val="hy-AM"/>
              </w:rPr>
              <w:t>1»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3561763" w:rsidR="000379A5" w:rsidRPr="0048258C" w:rsidRDefault="00F77C9A" w:rsidP="00F77C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4F5491C" w:rsidR="000379A5" w:rsidRPr="0048258C" w:rsidRDefault="00F77C9A" w:rsidP="00F77C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0379A5" w:rsidRPr="004825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A758E17" w:rsidR="000379A5" w:rsidRPr="0048258C" w:rsidRDefault="000379A5" w:rsidP="000379A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0FF690FE" w:rsidR="000379A5" w:rsidRPr="0048258C" w:rsidRDefault="00E92EC3" w:rsidP="000379A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6737E6D" w14:textId="6C048358" w:rsidR="00E92EC3" w:rsidRPr="00695F3F" w:rsidRDefault="00E92EC3" w:rsidP="00E92EC3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695F3F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510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 </w:t>
            </w:r>
            <w:r w:rsidRPr="00695F3F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840</w:t>
            </w:r>
          </w:p>
          <w:p w14:paraId="6043A549" w14:textId="012513C1" w:rsidR="000379A5" w:rsidRPr="0048258C" w:rsidRDefault="000379A5" w:rsidP="000379A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B2838" w:rsidRPr="0048258C" w14:paraId="1F657639" w14:textId="77777777" w:rsidTr="00B0287A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B2838" w:rsidRPr="0048258C" w14:paraId="20BC55B9" w14:textId="77777777" w:rsidTr="005A26B3">
        <w:trPr>
          <w:trHeight w:val="958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B0800C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6E4F222" w:rsidR="00AB2838" w:rsidRPr="0048258C" w:rsidRDefault="00F77C9A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255A7">
              <w:rPr>
                <w:rFonts w:ascii="Arial" w:hAnsi="Arial" w:cs="Arial"/>
                <w:b/>
                <w:sz w:val="16"/>
                <w:szCs w:val="16"/>
                <w:lang w:val="hy-AM"/>
              </w:rPr>
              <w:t>&lt;&lt;ԱՁ Կարեն Հովսեփյան&gt;&gt;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4ECEF" w14:textId="16223FB4" w:rsidR="005A26B3" w:rsidRPr="005A26B3" w:rsidRDefault="005A26B3" w:rsidP="005A26B3">
            <w:pPr>
              <w:tabs>
                <w:tab w:val="left" w:pos="741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5A26B3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Հասցե` </w:t>
            </w:r>
            <w:r w:rsidRPr="005A26B3">
              <w:rPr>
                <w:rFonts w:ascii="Arial" w:hAnsi="Arial" w:cs="Arial"/>
                <w:b/>
                <w:sz w:val="14"/>
                <w:szCs w:val="14"/>
                <w:lang w:val="hy-AM"/>
              </w:rPr>
              <w:t>Արմավիրի մարզ Սարդարապատ, Աբովյան 86</w:t>
            </w:r>
          </w:p>
          <w:p w14:paraId="4916BA54" w14:textId="5C0B910B" w:rsidR="00AB2838" w:rsidRPr="0048258C" w:rsidRDefault="00AB2838" w:rsidP="00626B8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A60DF3E" w:rsidR="00AB2838" w:rsidRPr="005A26B3" w:rsidRDefault="00AB2838" w:rsidP="00AB2838">
            <w:pPr>
              <w:pStyle w:val="ab"/>
              <w:spacing w:after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F99CF56" w:rsidR="00AB2838" w:rsidRPr="0048258C" w:rsidRDefault="005A26B3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83B52">
              <w:rPr>
                <w:rFonts w:ascii="Arial" w:hAnsi="Arial" w:cs="Arial"/>
                <w:b/>
                <w:sz w:val="18"/>
                <w:szCs w:val="18"/>
                <w:lang w:val="hy-AM"/>
              </w:rPr>
              <w:t>2050332048971001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D80F016" w:rsidR="00AB2838" w:rsidRPr="0048258C" w:rsidRDefault="005A26B3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83B52">
              <w:rPr>
                <w:rFonts w:ascii="Arial" w:hAnsi="Arial" w:cs="Arial"/>
                <w:b/>
                <w:sz w:val="18"/>
                <w:szCs w:val="18"/>
                <w:lang w:val="hy-AM"/>
              </w:rPr>
              <w:t>85674299</w:t>
            </w:r>
          </w:p>
        </w:tc>
      </w:tr>
      <w:tr w:rsidR="00AB2838" w:rsidRPr="0048258C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3863A00B" w14:textId="77777777" w:rsidTr="00F443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87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6723A8C" w:rsidR="00AB2838" w:rsidRPr="0048258C" w:rsidRDefault="00AB2838" w:rsidP="00AB283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Ծանոթություն</w:t>
            </w:r>
          </w:p>
        </w:tc>
      </w:tr>
      <w:tr w:rsidR="00AB2838" w:rsidRPr="0048258C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16F7566" w:rsidR="00AB2838" w:rsidRPr="0048258C" w:rsidRDefault="00AB2838" w:rsidP="00AB283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AB2838" w:rsidRPr="0048258C" w:rsidRDefault="00AB2838" w:rsidP="00AB283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AB2838" w:rsidRPr="0048258C" w:rsidRDefault="00AB2838" w:rsidP="00AB283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AB2838" w:rsidRPr="0048258C" w:rsidRDefault="00AB2838" w:rsidP="00AB283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AB2838" w:rsidRPr="0048258C" w:rsidRDefault="00AB2838" w:rsidP="00AB283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AB2838" w:rsidRPr="0048258C" w:rsidRDefault="00AB2838" w:rsidP="00AB283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AB2838" w:rsidRPr="0048258C" w:rsidRDefault="00AB2838" w:rsidP="00AB283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66938C8" w14:textId="62855456" w:rsidR="00AB2838" w:rsidRPr="0048258C" w:rsidRDefault="00AB2838" w:rsidP="00AB283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r w:rsidR="00A229D8"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goharminasyan@list.ru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  <w:r w:rsidRPr="0048258C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AB2838" w:rsidRPr="0048258C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E1F3A15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Հրապարակվել է պաշտոնական տեղեկագրում՝ </w:t>
            </w:r>
            <w:r w:rsidRPr="0048258C">
              <w:rPr>
                <w:rFonts w:ascii="Sylfaen" w:hAnsi="Sylfaen"/>
              </w:rPr>
              <w:fldChar w:fldCharType="begin"/>
            </w:r>
            <w:r w:rsidRPr="0048258C">
              <w:rPr>
                <w:rFonts w:ascii="Sylfaen" w:hAnsi="Sylfaen"/>
                <w:lang w:val="hy-AM"/>
              </w:rPr>
              <w:instrText>HYPERLINK "http://www.gnumner.am"</w:instrText>
            </w:r>
            <w:r w:rsidRPr="0048258C">
              <w:rPr>
                <w:rFonts w:ascii="Sylfaen" w:hAnsi="Sylfaen"/>
              </w:rPr>
              <w:fldChar w:fldCharType="separate"/>
            </w:r>
            <w:r w:rsidRPr="0048258C">
              <w:rPr>
                <w:rStyle w:val="ad"/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www.gnumner.am</w:t>
            </w:r>
            <w:r w:rsidRPr="0048258C">
              <w:rPr>
                <w:rStyle w:val="ad"/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 կայքում</w:t>
            </w:r>
          </w:p>
        </w:tc>
      </w:tr>
      <w:tr w:rsidR="00AB2838" w:rsidRPr="0048258C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8258C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CF8FE3D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Հակաօրինական գործողություններ չի հայտնաբերվել</w:t>
            </w:r>
          </w:p>
        </w:tc>
      </w:tr>
      <w:tr w:rsidR="00AB2838" w:rsidRPr="0048258C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825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6959059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Բողոքներ չի նեկայացվել</w:t>
            </w:r>
          </w:p>
        </w:tc>
      </w:tr>
      <w:tr w:rsidR="00AB2838" w:rsidRPr="0048258C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2838" w:rsidRPr="0048258C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2CF70F7" w:rsidR="00AB2838" w:rsidRPr="0048258C" w:rsidRDefault="00AB2838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AB2838" w:rsidRPr="0048258C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AB2838" w:rsidRPr="0048258C" w:rsidRDefault="00AB2838" w:rsidP="00AB283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B2838" w:rsidRPr="0048258C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825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B2838" w:rsidRPr="0048258C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B2838" w:rsidRPr="0048258C" w:rsidRDefault="00AB2838" w:rsidP="00AB28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58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B2838" w:rsidRPr="0048258C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5A3BD566" w:rsidR="00AB2838" w:rsidRPr="0048258C" w:rsidRDefault="003252BF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Էլիզա Մարկոսյան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1197BAE7" w:rsidR="00AB2838" w:rsidRPr="003252BF" w:rsidRDefault="003252BF" w:rsidP="00AB2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094524847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F6424C2" w:rsidR="00AB2838" w:rsidRPr="003252BF" w:rsidRDefault="003252BF" w:rsidP="003252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094524847</w:t>
            </w:r>
            <w:r w:rsidR="00AB2838" w:rsidRPr="0048258C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@</w:t>
            </w: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mail.ru</w:t>
            </w:r>
            <w:bookmarkStart w:id="0" w:name="_GoBack"/>
            <w:bookmarkEnd w:id="0"/>
          </w:p>
        </w:tc>
      </w:tr>
    </w:tbl>
    <w:p w14:paraId="55E01A61" w14:textId="77777777" w:rsidR="0022631D" w:rsidRPr="0048258C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48258C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48258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C770E" w14:textId="77777777" w:rsidR="00CE5474" w:rsidRDefault="00CE5474" w:rsidP="0022631D">
      <w:pPr>
        <w:spacing w:before="0" w:after="0"/>
      </w:pPr>
      <w:r>
        <w:separator/>
      </w:r>
    </w:p>
  </w:endnote>
  <w:endnote w:type="continuationSeparator" w:id="0">
    <w:p w14:paraId="5051990B" w14:textId="77777777" w:rsidR="00CE5474" w:rsidRDefault="00CE547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02FA8" w14:textId="77777777" w:rsidR="00CE5474" w:rsidRDefault="00CE5474" w:rsidP="0022631D">
      <w:pPr>
        <w:spacing w:before="0" w:after="0"/>
      </w:pPr>
      <w:r>
        <w:separator/>
      </w:r>
    </w:p>
  </w:footnote>
  <w:footnote w:type="continuationSeparator" w:id="0">
    <w:p w14:paraId="0C107901" w14:textId="77777777" w:rsidR="00CE5474" w:rsidRDefault="00CE547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B2838" w:rsidRPr="002D0BF6" w:rsidRDefault="00AB283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B2838" w:rsidRPr="002D0BF6" w:rsidRDefault="00AB283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AB2838" w:rsidRPr="00871366" w:rsidRDefault="00AB283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AB2838" w:rsidRPr="002D0BF6" w:rsidRDefault="00AB2838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AB2838" w:rsidRPr="0078682E" w:rsidRDefault="00AB283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B2838" w:rsidRPr="0078682E" w:rsidRDefault="00AB2838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B2838" w:rsidRPr="00005B9C" w:rsidRDefault="00AB2838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A3CDC"/>
    <w:multiLevelType w:val="hybridMultilevel"/>
    <w:tmpl w:val="12DCF0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BC3"/>
    <w:rsid w:val="00012170"/>
    <w:rsid w:val="00027D95"/>
    <w:rsid w:val="000379A5"/>
    <w:rsid w:val="00044EA8"/>
    <w:rsid w:val="00046CCF"/>
    <w:rsid w:val="00051ECE"/>
    <w:rsid w:val="0007090E"/>
    <w:rsid w:val="00073D66"/>
    <w:rsid w:val="0008441C"/>
    <w:rsid w:val="0008532F"/>
    <w:rsid w:val="00085E78"/>
    <w:rsid w:val="000978E8"/>
    <w:rsid w:val="000B0199"/>
    <w:rsid w:val="000B5852"/>
    <w:rsid w:val="000E4FF1"/>
    <w:rsid w:val="000F313F"/>
    <w:rsid w:val="000F376D"/>
    <w:rsid w:val="001021B0"/>
    <w:rsid w:val="00114461"/>
    <w:rsid w:val="00124A93"/>
    <w:rsid w:val="00125DB2"/>
    <w:rsid w:val="001404AC"/>
    <w:rsid w:val="00141745"/>
    <w:rsid w:val="001762B1"/>
    <w:rsid w:val="00181733"/>
    <w:rsid w:val="0018422F"/>
    <w:rsid w:val="0019264B"/>
    <w:rsid w:val="001A1999"/>
    <w:rsid w:val="001C1BE1"/>
    <w:rsid w:val="001E0091"/>
    <w:rsid w:val="00205C4C"/>
    <w:rsid w:val="00220FAE"/>
    <w:rsid w:val="0022631D"/>
    <w:rsid w:val="00243032"/>
    <w:rsid w:val="00295B92"/>
    <w:rsid w:val="002A0F72"/>
    <w:rsid w:val="002A612D"/>
    <w:rsid w:val="002E4E6F"/>
    <w:rsid w:val="002F16CC"/>
    <w:rsid w:val="002F1FEB"/>
    <w:rsid w:val="00324337"/>
    <w:rsid w:val="003252BF"/>
    <w:rsid w:val="00362156"/>
    <w:rsid w:val="00371B1D"/>
    <w:rsid w:val="00375D8F"/>
    <w:rsid w:val="003B2758"/>
    <w:rsid w:val="003D0C47"/>
    <w:rsid w:val="003E3D40"/>
    <w:rsid w:val="003E6978"/>
    <w:rsid w:val="003F3D9B"/>
    <w:rsid w:val="00433E3C"/>
    <w:rsid w:val="00436C9D"/>
    <w:rsid w:val="00460062"/>
    <w:rsid w:val="00472069"/>
    <w:rsid w:val="00474C2F"/>
    <w:rsid w:val="004764CD"/>
    <w:rsid w:val="0048258C"/>
    <w:rsid w:val="004875E0"/>
    <w:rsid w:val="004D078F"/>
    <w:rsid w:val="004E376E"/>
    <w:rsid w:val="004F1176"/>
    <w:rsid w:val="00503BCC"/>
    <w:rsid w:val="00546023"/>
    <w:rsid w:val="00553E02"/>
    <w:rsid w:val="005737F9"/>
    <w:rsid w:val="005A26B3"/>
    <w:rsid w:val="005D5FBD"/>
    <w:rsid w:val="00607C9A"/>
    <w:rsid w:val="00626B80"/>
    <w:rsid w:val="0064147A"/>
    <w:rsid w:val="00646760"/>
    <w:rsid w:val="00690ECB"/>
    <w:rsid w:val="00695F3F"/>
    <w:rsid w:val="006A1C9D"/>
    <w:rsid w:val="006A38B4"/>
    <w:rsid w:val="006A7289"/>
    <w:rsid w:val="006B2E21"/>
    <w:rsid w:val="006C0266"/>
    <w:rsid w:val="006E0D92"/>
    <w:rsid w:val="006E1A83"/>
    <w:rsid w:val="006F2779"/>
    <w:rsid w:val="007060FC"/>
    <w:rsid w:val="007255A7"/>
    <w:rsid w:val="007612F1"/>
    <w:rsid w:val="007732E7"/>
    <w:rsid w:val="0078682E"/>
    <w:rsid w:val="00797D3B"/>
    <w:rsid w:val="007E0005"/>
    <w:rsid w:val="007F4382"/>
    <w:rsid w:val="0081420B"/>
    <w:rsid w:val="00820103"/>
    <w:rsid w:val="00823715"/>
    <w:rsid w:val="008B69F4"/>
    <w:rsid w:val="008C4E62"/>
    <w:rsid w:val="008E493A"/>
    <w:rsid w:val="008F305D"/>
    <w:rsid w:val="00913929"/>
    <w:rsid w:val="00931EA5"/>
    <w:rsid w:val="00950DEF"/>
    <w:rsid w:val="00995A9E"/>
    <w:rsid w:val="009B622A"/>
    <w:rsid w:val="009C5E0F"/>
    <w:rsid w:val="009E75FF"/>
    <w:rsid w:val="00A229D8"/>
    <w:rsid w:val="00A306F5"/>
    <w:rsid w:val="00A31820"/>
    <w:rsid w:val="00A56EEA"/>
    <w:rsid w:val="00A62FD3"/>
    <w:rsid w:val="00A75673"/>
    <w:rsid w:val="00AA32E4"/>
    <w:rsid w:val="00AB2838"/>
    <w:rsid w:val="00AD07B9"/>
    <w:rsid w:val="00AD59DC"/>
    <w:rsid w:val="00AE1217"/>
    <w:rsid w:val="00AF6AB2"/>
    <w:rsid w:val="00B0287A"/>
    <w:rsid w:val="00B032D8"/>
    <w:rsid w:val="00B3329A"/>
    <w:rsid w:val="00B348D6"/>
    <w:rsid w:val="00B56908"/>
    <w:rsid w:val="00B66959"/>
    <w:rsid w:val="00B75762"/>
    <w:rsid w:val="00B861CA"/>
    <w:rsid w:val="00B91DE2"/>
    <w:rsid w:val="00B94EA2"/>
    <w:rsid w:val="00BA03B0"/>
    <w:rsid w:val="00BB0A93"/>
    <w:rsid w:val="00BC5561"/>
    <w:rsid w:val="00BC78CA"/>
    <w:rsid w:val="00BD3D4E"/>
    <w:rsid w:val="00BE29DF"/>
    <w:rsid w:val="00BF1465"/>
    <w:rsid w:val="00BF4745"/>
    <w:rsid w:val="00C356B9"/>
    <w:rsid w:val="00C715FA"/>
    <w:rsid w:val="00C84DF7"/>
    <w:rsid w:val="00C96337"/>
    <w:rsid w:val="00C96BED"/>
    <w:rsid w:val="00CB3C5D"/>
    <w:rsid w:val="00CB44D2"/>
    <w:rsid w:val="00CB7E8A"/>
    <w:rsid w:val="00CC1F23"/>
    <w:rsid w:val="00CE5474"/>
    <w:rsid w:val="00CF1F70"/>
    <w:rsid w:val="00D339F3"/>
    <w:rsid w:val="00D350DE"/>
    <w:rsid w:val="00D36189"/>
    <w:rsid w:val="00D80C64"/>
    <w:rsid w:val="00D86FBA"/>
    <w:rsid w:val="00DA31CF"/>
    <w:rsid w:val="00DE06F1"/>
    <w:rsid w:val="00E064EF"/>
    <w:rsid w:val="00E07314"/>
    <w:rsid w:val="00E16A0A"/>
    <w:rsid w:val="00E227BB"/>
    <w:rsid w:val="00E243EA"/>
    <w:rsid w:val="00E32991"/>
    <w:rsid w:val="00E33A25"/>
    <w:rsid w:val="00E4188B"/>
    <w:rsid w:val="00E54C4D"/>
    <w:rsid w:val="00E56328"/>
    <w:rsid w:val="00E565AF"/>
    <w:rsid w:val="00E92EC3"/>
    <w:rsid w:val="00EA01A2"/>
    <w:rsid w:val="00EA568C"/>
    <w:rsid w:val="00EA767F"/>
    <w:rsid w:val="00EB59EE"/>
    <w:rsid w:val="00ED2916"/>
    <w:rsid w:val="00EF16D0"/>
    <w:rsid w:val="00F10AFE"/>
    <w:rsid w:val="00F25BCB"/>
    <w:rsid w:val="00F31004"/>
    <w:rsid w:val="00F443CF"/>
    <w:rsid w:val="00F64167"/>
    <w:rsid w:val="00F65668"/>
    <w:rsid w:val="00F6673B"/>
    <w:rsid w:val="00F77AAD"/>
    <w:rsid w:val="00F77C9A"/>
    <w:rsid w:val="00F834B6"/>
    <w:rsid w:val="00F916C4"/>
    <w:rsid w:val="00FA56E1"/>
    <w:rsid w:val="00FB097B"/>
    <w:rsid w:val="00FD6C1A"/>
    <w:rsid w:val="00FE6671"/>
    <w:rsid w:val="00FE79E5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"/>
    <w:basedOn w:val="a"/>
    <w:link w:val="ac"/>
    <w:rsid w:val="0008441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441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441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32991"/>
    <w:rPr>
      <w:color w:val="605E5C"/>
      <w:shd w:val="clear" w:color="auto" w:fill="E1DFDD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FD6C1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86F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"/>
    <w:basedOn w:val="a"/>
    <w:link w:val="ac"/>
    <w:rsid w:val="0008441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441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441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32991"/>
    <w:rPr>
      <w:color w:val="605E5C"/>
      <w:shd w:val="clear" w:color="auto" w:fill="E1DFDD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FD6C1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8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65E0-21D8-480C-AF0C-8C2BDDD3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https://mul2-armavir.gov.am/tasks/342606/oneclick/3152032964339de1ffbbb08737a75b0069fbb2b043c7efab19b791e153ee8b73.docx?token=16773341afc61f3fb5b31518fe1481f3</cp:keywords>
  <cp:lastModifiedBy>Admin</cp:lastModifiedBy>
  <cp:revision>95</cp:revision>
  <cp:lastPrinted>2021-04-06T07:47:00Z</cp:lastPrinted>
  <dcterms:created xsi:type="dcterms:W3CDTF">2021-09-25T08:21:00Z</dcterms:created>
  <dcterms:modified xsi:type="dcterms:W3CDTF">2024-01-22T07:05:00Z</dcterms:modified>
</cp:coreProperties>
</file>