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:rsidR="00227378" w:rsidRPr="004D42E6" w:rsidRDefault="001E5F17" w:rsidP="00385F8A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4443F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E4443F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E4443F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E4443F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E4443F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E4443F">
        <w:rPr>
          <w:rFonts w:ascii="GHEA Grapalat" w:hAnsi="GHEA Grapalat"/>
          <w:color w:val="000000" w:themeColor="text1"/>
          <w:sz w:val="18"/>
          <w:szCs w:val="18"/>
        </w:rPr>
        <w:t>дс</w:t>
      </w:r>
      <w:bookmarkStart w:id="0" w:name="_GoBack"/>
      <w:bookmarkEnd w:id="0"/>
      <w:r w:rsidR="00FE6424" w:rsidRPr="00E4443F">
        <w:rPr>
          <w:rFonts w:ascii="GHEA Grapalat" w:hAnsi="GHEA Grapalat"/>
          <w:color w:val="000000" w:themeColor="text1"/>
          <w:sz w:val="18"/>
          <w:szCs w:val="18"/>
        </w:rPr>
        <w:t xml:space="preserve">тавляет информацию </w:t>
      </w:r>
      <w:r w:rsidR="002D1764" w:rsidRPr="00E4443F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8D01C6" w:rsidRPr="00E4443F">
        <w:rPr>
          <w:rFonts w:ascii="GHEA Grapalat" w:hAnsi="GHEA Grapalat"/>
          <w:color w:val="000000" w:themeColor="text1"/>
          <w:sz w:val="18"/>
          <w:szCs w:val="18"/>
        </w:rPr>
        <w:t>02.06</w:t>
      </w:r>
      <w:r w:rsidR="00227378" w:rsidRPr="00E4443F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E4443F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E4443F">
        <w:rPr>
          <w:rFonts w:ascii="GHEA Grapalat" w:hAnsi="GHEA Grapalat"/>
          <w:color w:val="000000" w:themeColor="text1"/>
          <w:sz w:val="18"/>
          <w:szCs w:val="18"/>
        </w:rPr>
        <w:t>.</w:t>
      </w:r>
      <w:r w:rsidR="00385F8A"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proofErr w:type="gramStart"/>
      <w:r w:rsidR="004D42E6" w:rsidRPr="00F93C72">
        <w:rPr>
          <w:rFonts w:ascii="GHEA Grapalat" w:hAnsi="GHEA Grapalat"/>
          <w:color w:val="000000" w:themeColor="text1"/>
          <w:sz w:val="20"/>
          <w:lang w:val="en-US"/>
        </w:rPr>
        <w:t>B</w:t>
      </w:r>
      <w:r w:rsidR="004D42E6" w:rsidRPr="00205F7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4D42E6">
        <w:rPr>
          <w:rFonts w:ascii="GHEA Grapalat" w:hAnsi="GHEA Grapalat"/>
          <w:color w:val="000000" w:themeColor="text1"/>
          <w:sz w:val="20"/>
          <w:lang w:val="es-ES"/>
        </w:rPr>
        <w:t>1862116118</w:t>
      </w:r>
      <w:r w:rsidR="00385F8A"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E4443F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E4443F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E4443F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4D42E6" w:rsidRPr="00F93C72">
        <w:rPr>
          <w:rFonts w:ascii="GHEA Grapalat" w:hAnsi="GHEA Grapalat"/>
          <w:color w:val="000000" w:themeColor="text1"/>
          <w:sz w:val="20"/>
          <w:lang w:val="en-US"/>
        </w:rPr>
        <w:t>B</w:t>
      </w:r>
      <w:r w:rsidR="004D42E6" w:rsidRPr="00205F7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4D42E6">
        <w:rPr>
          <w:rFonts w:ascii="GHEA Grapalat" w:hAnsi="GHEA Grapalat"/>
          <w:color w:val="000000" w:themeColor="text1"/>
          <w:sz w:val="20"/>
          <w:lang w:val="es-ES"/>
        </w:rPr>
        <w:t>1862116118</w:t>
      </w:r>
      <w:r w:rsidR="00157AA3" w:rsidRPr="00E4443F">
        <w:rPr>
          <w:rFonts w:ascii="GHEA Grapalat" w:hAnsi="GHEA Grapalat"/>
          <w:color w:val="000000" w:themeColor="text1"/>
          <w:sz w:val="18"/>
          <w:szCs w:val="18"/>
        </w:rPr>
        <w:t>, по приобретению</w:t>
      </w:r>
      <w:r w:rsidR="00385F8A" w:rsidRPr="00E4443F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4D42E6" w:rsidRPr="004D42E6">
        <w:rPr>
          <w:rFonts w:ascii="GHEA Grapalat" w:hAnsi="GHEA Grapalat" w:cs="Arial Armenian"/>
          <w:sz w:val="18"/>
          <w:szCs w:val="18"/>
        </w:rPr>
        <w:t>медицинских перчаток</w:t>
      </w:r>
      <w:r w:rsidR="00227378" w:rsidRPr="004D42E6">
        <w:rPr>
          <w:rFonts w:ascii="GHEA Grapalat" w:hAnsi="GHEA Grapalat"/>
          <w:color w:val="000000" w:themeColor="text1"/>
          <w:sz w:val="18"/>
          <w:szCs w:val="18"/>
        </w:rPr>
        <w:t>.</w:t>
      </w:r>
      <w:proofErr w:type="gramEnd"/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371"/>
        <w:gridCol w:w="500"/>
        <w:gridCol w:w="142"/>
        <w:gridCol w:w="579"/>
        <w:gridCol w:w="79"/>
        <w:gridCol w:w="320"/>
        <w:gridCol w:w="297"/>
        <w:gridCol w:w="58"/>
        <w:gridCol w:w="146"/>
        <w:gridCol w:w="1069"/>
      </w:tblGrid>
      <w:tr w:rsidR="009954F1" w:rsidRPr="009954F1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7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8D01C6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216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190" w:type="dxa"/>
            <w:gridSpan w:val="9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8D01C6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216" w:type="dxa"/>
            <w:gridSpan w:val="3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90" w:type="dxa"/>
            <w:gridSpan w:val="9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4D42E6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27378" w:rsidRPr="009954F1" w:rsidTr="004D42E6">
        <w:trPr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227378" w:rsidRPr="00752F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1C6" w:rsidRPr="004D42E6" w:rsidRDefault="004D42E6" w:rsidP="008D01C6">
            <w:pPr>
              <w:spacing w:before="240"/>
              <w:rPr>
                <w:rFonts w:ascii="GHEA Grapalat" w:hAnsi="GHEA Grapalat" w:cs="Arial Armenian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sz w:val="18"/>
                <w:szCs w:val="18"/>
              </w:rPr>
              <w:t>медицински</w:t>
            </w:r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>е</w:t>
            </w:r>
            <w:r w:rsidRPr="004D42E6">
              <w:rPr>
                <w:rFonts w:ascii="GHEA Grapalat" w:hAnsi="GHEA Grapalat" w:cs="Arial Armenian"/>
                <w:sz w:val="18"/>
                <w:szCs w:val="18"/>
              </w:rPr>
              <w:t xml:space="preserve"> перчат</w:t>
            </w:r>
            <w:proofErr w:type="spellStart"/>
            <w:r>
              <w:rPr>
                <w:rFonts w:ascii="GHEA Grapalat" w:hAnsi="GHEA Grapalat" w:cs="Arial Armenian"/>
                <w:sz w:val="18"/>
                <w:szCs w:val="18"/>
                <w:lang w:val="en-US"/>
              </w:rPr>
              <w:t>ки</w:t>
            </w:r>
            <w:proofErr w:type="spellEnd"/>
          </w:p>
          <w:p w:rsidR="00227378" w:rsidRPr="00B76772" w:rsidRDefault="00227378" w:rsidP="00405FE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385F8A" w:rsidRDefault="00385F8A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4D42E6" w:rsidP="004D42E6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1500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8D01C6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  <w:r w:rsidR="004D42E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500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4D42E6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103 500</w:t>
            </w: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4D42E6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103 500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F7B" w:rsidRPr="004D42E6" w:rsidRDefault="004D42E6" w:rsidP="008D01C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D42E6">
              <w:rPr>
                <w:rFonts w:ascii="GHEA Grapalat" w:hAnsi="GHEA Grapalat" w:cs="Arial Armenian"/>
                <w:sz w:val="14"/>
                <w:szCs w:val="14"/>
              </w:rPr>
              <w:t>Перчатки из нитрила,</w:t>
            </w:r>
            <w:r w:rsidRPr="004D42E6">
              <w:rPr>
                <w:sz w:val="14"/>
                <w:szCs w:val="14"/>
              </w:rPr>
              <w:t xml:space="preserve"> </w:t>
            </w:r>
            <w:r w:rsidRPr="004D42E6">
              <w:rPr>
                <w:rFonts w:ascii="GHEA Grapalat" w:hAnsi="GHEA Grapalat" w:cs="Arial Armenian"/>
                <w:sz w:val="14"/>
                <w:szCs w:val="14"/>
              </w:rPr>
              <w:t>черного цвета  , одноразовые. Высокого  качества.</w:t>
            </w:r>
          </w:p>
        </w:tc>
        <w:tc>
          <w:tcPr>
            <w:tcW w:w="15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385F8A" w:rsidRDefault="004D42E6" w:rsidP="008D01C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D42E6">
              <w:rPr>
                <w:rFonts w:ascii="GHEA Grapalat" w:hAnsi="GHEA Grapalat" w:cs="Arial Armenian"/>
                <w:sz w:val="14"/>
                <w:szCs w:val="14"/>
              </w:rPr>
              <w:t>Перчатки из нитрила,</w:t>
            </w:r>
            <w:r w:rsidRPr="004D42E6">
              <w:rPr>
                <w:sz w:val="14"/>
                <w:szCs w:val="14"/>
              </w:rPr>
              <w:t xml:space="preserve"> </w:t>
            </w:r>
            <w:r w:rsidRPr="004D42E6">
              <w:rPr>
                <w:rFonts w:ascii="GHEA Grapalat" w:hAnsi="GHEA Grapalat" w:cs="Arial Armenian"/>
                <w:sz w:val="14"/>
                <w:szCs w:val="14"/>
              </w:rPr>
              <w:t>черного цвета  , одноразовые. Высокого  качества</w:t>
            </w:r>
          </w:p>
        </w:tc>
      </w:tr>
      <w:tr w:rsidR="000C2C6C" w:rsidRPr="009954F1" w:rsidTr="00DB31A3">
        <w:trPr>
          <w:trHeight w:val="16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rPr>
          <w:trHeight w:val="18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подпункте 4, пункта 1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статьи 2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и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подпункте</w:t>
            </w:r>
            <w:r w:rsidR="0031160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1 пункта 23 порядка № 526-N от 4 мая 2017 года ,,Организации процесса закупок,, (далее-Порядок), утвержденного постановлением Правительства РА</w:t>
            </w:r>
          </w:p>
        </w:tc>
      </w:tr>
      <w:tr w:rsidR="000C2C6C" w:rsidRPr="009954F1" w:rsidTr="00E948BE">
        <w:trPr>
          <w:trHeight w:val="7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:rsidTr="008D01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:rsidTr="008D01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1146</w:t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8D01C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02.06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:rsidTr="008D01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4D42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:rsidTr="004D42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E948BE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19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19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A2ECF" w:rsidRPr="009954F1" w:rsidTr="00E4443F">
        <w:trPr>
          <w:trHeight w:val="16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A2ECF" w:rsidRPr="00227378" w:rsidRDefault="000A2ECF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0A2ECF" w:rsidRPr="000A2ECF" w:rsidRDefault="004D42E6" w:rsidP="000A2EC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ООО &lt;&lt;ФАРМА-СТАР&gt;&gt;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A2ECF" w:rsidRPr="009F2939" w:rsidRDefault="004D42E6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103 500 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0A2ECF" w:rsidRPr="009F2939" w:rsidRDefault="004D42E6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103 500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0A2ECF" w:rsidRPr="00E4443F" w:rsidRDefault="00E4443F" w:rsidP="004C7FB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0A2ECF" w:rsidRPr="00E4443F" w:rsidRDefault="00E4443F" w:rsidP="004C7FB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0A2ECF" w:rsidRPr="009F2939" w:rsidRDefault="004D42E6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103 500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0A2ECF" w:rsidRPr="009F2939" w:rsidRDefault="004D42E6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103 500</w:t>
            </w:r>
          </w:p>
        </w:tc>
      </w:tr>
      <w:tr w:rsidR="000A2ECF" w:rsidRPr="009954F1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A2ECF" w:rsidRPr="009954F1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52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A2ECF" w:rsidRPr="004205A8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A2ECF" w:rsidRPr="009954F1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A2ECF" w:rsidRPr="009954F1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385F8A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25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E4443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</w:t>
            </w:r>
            <w:r w:rsidR="000A2EC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0A2ECF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0A2ECF" w:rsidRPr="009954F1" w:rsidTr="008D01C6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3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1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A2ECF" w:rsidRPr="009954F1" w:rsidTr="00F135A7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B03D70" w:rsidRDefault="000A2ECF" w:rsidP="00B63D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пункта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4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статьи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: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срокa </w:t>
            </w:r>
            <w:r w:rsidRPr="00B03D7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бездеятельност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 не применяеться</w:t>
            </w:r>
          </w:p>
        </w:tc>
      </w:tr>
      <w:tr w:rsidR="000A2ECF" w:rsidRPr="009954F1" w:rsidTr="00EC1294">
        <w:trPr>
          <w:trHeight w:val="259"/>
          <w:jc w:val="center"/>
        </w:trPr>
        <w:tc>
          <w:tcPr>
            <w:tcW w:w="1097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0943F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E4443F"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="00E4443F"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0A2ECF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E4443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</w:p>
        </w:tc>
      </w:tr>
      <w:tr w:rsidR="000A2ECF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E4443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Pr="00E4443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</w:p>
        </w:tc>
      </w:tr>
      <w:tr w:rsidR="000A2ECF" w:rsidRPr="009954F1" w:rsidTr="00EC1294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3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A2ECF" w:rsidRPr="009954F1" w:rsidTr="008D01C6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2ECF" w:rsidRPr="00B438E5" w:rsidRDefault="000A2ECF" w:rsidP="00D53D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C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90" w:type="dxa"/>
            <w:gridSpan w:val="9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A2ECF" w:rsidRPr="009954F1" w:rsidTr="008D01C6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90" w:type="dxa"/>
            <w:gridSpan w:val="9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A2ECF" w:rsidRPr="009954F1" w:rsidTr="008D01C6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A2ECF" w:rsidRPr="009954F1" w:rsidTr="008D01C6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A2ECF" w:rsidRPr="00DB31A3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0A2ECF" w:rsidRPr="00DB31A3" w:rsidRDefault="004D42E6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ООО &lt;&lt;ФАРМА-СТАР&gt;&gt;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A2ECF" w:rsidRPr="004D42E6" w:rsidRDefault="004D42E6" w:rsidP="004C7FB9">
            <w:pPr>
              <w:widowControl w:val="0"/>
              <w:jc w:val="center"/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ca-ES"/>
              </w:rPr>
            </w:pPr>
            <w:r w:rsidRPr="004D42E6">
              <w:rPr>
                <w:rFonts w:ascii="GHEA Grapalat" w:hAnsi="GHEA Grapalat"/>
                <w:color w:val="000000" w:themeColor="text1"/>
                <w:sz w:val="16"/>
                <w:szCs w:val="16"/>
                <w:lang w:val="en-US"/>
              </w:rPr>
              <w:t>B</w:t>
            </w:r>
            <w:r w:rsidRPr="004D42E6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4D42E6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1862116118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2ECF" w:rsidRPr="008B1EF9" w:rsidRDefault="00E4443F" w:rsidP="004C7FB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02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6</w:t>
            </w:r>
            <w:r w:rsidR="000A2ECF">
              <w:rPr>
                <w:rFonts w:ascii="GHEA Grapalat" w:hAnsi="GHEA Grapalat" w:cs="Sylfaen"/>
                <w:color w:val="000000"/>
                <w:sz w:val="14"/>
                <w:szCs w:val="14"/>
              </w:rPr>
              <w:t>.2020</w:t>
            </w:r>
            <w:r w:rsidR="000A2ECF"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թ.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0A2ECF" w:rsidRPr="009F2939" w:rsidRDefault="004D42E6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103 500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0A2ECF" w:rsidRPr="009F2939" w:rsidRDefault="004D42E6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103 500</w:t>
            </w:r>
          </w:p>
        </w:tc>
      </w:tr>
      <w:tr w:rsidR="000A2ECF" w:rsidRPr="009954F1" w:rsidTr="00DB31A3">
        <w:trPr>
          <w:trHeight w:val="353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A2ECF" w:rsidRPr="009954F1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A2ECF" w:rsidRPr="009954F1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A2ECF" w:rsidRPr="00EC1294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0A2ECF" w:rsidRPr="00EC1294" w:rsidRDefault="004D42E6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ООО &lt;&lt;ФАРМА-СТАР&gt;&gt;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A2ECF" w:rsidRPr="000A2ECF" w:rsidRDefault="000A2ECF" w:rsidP="004D4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Г. Ереван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E4443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ул</w:t>
            </w:r>
            <w:proofErr w:type="spellEnd"/>
            <w:r w:rsidR="00E4443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="004D42E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Анрапетутян</w:t>
            </w:r>
            <w:proofErr w:type="spellEnd"/>
            <w:r w:rsidR="004D42E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58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A2ECF" w:rsidRPr="00B03D70" w:rsidRDefault="004D42E6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dashasanoyan1@gmail.com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:rsidR="000A2ECF" w:rsidRPr="00B03D70" w:rsidRDefault="004D42E6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220410122844000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0A2ECF" w:rsidRPr="00EC1294" w:rsidRDefault="004D42E6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00451426</w:t>
            </w:r>
          </w:p>
        </w:tc>
      </w:tr>
      <w:tr w:rsidR="000A2ECF" w:rsidRPr="009954F1" w:rsidTr="00EC1294">
        <w:trPr>
          <w:trHeight w:val="151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A2ECF" w:rsidRPr="009954F1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37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A2ECF" w:rsidRPr="009954F1" w:rsidRDefault="000A2ECF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61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ECF" w:rsidRPr="009954F1" w:rsidRDefault="000A2ECF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70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227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A2ECF" w:rsidRPr="009954F1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A2ECF" w:rsidRPr="009954F1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:rsidR="000A2ECF" w:rsidRPr="00B03D70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Погосян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2"/>
            <w:shd w:val="clear" w:color="auto" w:fill="auto"/>
            <w:vAlign w:val="center"/>
          </w:tcPr>
          <w:p w:rsidR="000A2ECF" w:rsidRPr="0041416F" w:rsidRDefault="000A2ECF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a.poghosyan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028" w:rsidRDefault="00D15028">
      <w:r>
        <w:separator/>
      </w:r>
    </w:p>
  </w:endnote>
  <w:endnote w:type="continuationSeparator" w:id="0">
    <w:p w:rsidR="00D15028" w:rsidRDefault="00D15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C4" w:rsidRDefault="008D44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C4" w:rsidRDefault="00076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0762C4" w:rsidRPr="00B12937" w:rsidRDefault="008D44E1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0762C4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4D42E6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028" w:rsidRDefault="00D15028">
      <w:r>
        <w:separator/>
      </w:r>
    </w:p>
  </w:footnote>
  <w:footnote w:type="continuationSeparator" w:id="0">
    <w:p w:rsidR="00D15028" w:rsidRDefault="00D15028">
      <w:r>
        <w:continuationSeparator/>
      </w:r>
    </w:p>
  </w:footnote>
  <w:footnote w:id="1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A2ECF" w:rsidRPr="00B12937" w:rsidRDefault="000A2EC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A2ECF" w:rsidRPr="00B12937" w:rsidRDefault="000A2EC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A20EC"/>
    <w:rsid w:val="000A2ECF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927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46E91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A6B18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1608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F8A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05FEE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A732E"/>
    <w:rsid w:val="004B0C88"/>
    <w:rsid w:val="004B2C83"/>
    <w:rsid w:val="004B2CAE"/>
    <w:rsid w:val="004B7482"/>
    <w:rsid w:val="004C2C80"/>
    <w:rsid w:val="004C584B"/>
    <w:rsid w:val="004C5CA0"/>
    <w:rsid w:val="004D2A4F"/>
    <w:rsid w:val="004D42E6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298F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1A08"/>
    <w:rsid w:val="006A5B35"/>
    <w:rsid w:val="006A5CF4"/>
    <w:rsid w:val="006B2BA7"/>
    <w:rsid w:val="006B7B4E"/>
    <w:rsid w:val="006B7BCF"/>
    <w:rsid w:val="006D0C89"/>
    <w:rsid w:val="006D4D49"/>
    <w:rsid w:val="006D60A9"/>
    <w:rsid w:val="006E33F0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5E96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4390C"/>
    <w:rsid w:val="008503C1"/>
    <w:rsid w:val="0085169A"/>
    <w:rsid w:val="0085228E"/>
    <w:rsid w:val="0085764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1C6"/>
    <w:rsid w:val="008D0B2F"/>
    <w:rsid w:val="008D44E1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90AFC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3D70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38E5"/>
    <w:rsid w:val="00B45438"/>
    <w:rsid w:val="00B5159F"/>
    <w:rsid w:val="00B5440A"/>
    <w:rsid w:val="00B5525A"/>
    <w:rsid w:val="00B57B6C"/>
    <w:rsid w:val="00B63DE6"/>
    <w:rsid w:val="00B7192A"/>
    <w:rsid w:val="00B737D5"/>
    <w:rsid w:val="00B7414D"/>
    <w:rsid w:val="00B76772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5D96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0D4"/>
    <w:rsid w:val="00D03A1E"/>
    <w:rsid w:val="00D043CD"/>
    <w:rsid w:val="00D04D6D"/>
    <w:rsid w:val="00D0571B"/>
    <w:rsid w:val="00D0598D"/>
    <w:rsid w:val="00D06E8D"/>
    <w:rsid w:val="00D15028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3DFC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87F7B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443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8BC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3EC0"/>
    <w:rsid w:val="00ED51CE"/>
    <w:rsid w:val="00ED7334"/>
    <w:rsid w:val="00ED7DDE"/>
    <w:rsid w:val="00EE1465"/>
    <w:rsid w:val="00EE2827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6E06-8A5B-435B-B571-14264D46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2</cp:revision>
  <cp:lastPrinted>2020-06-09T11:52:00Z</cp:lastPrinted>
  <dcterms:created xsi:type="dcterms:W3CDTF">2020-06-09T11:52:00Z</dcterms:created>
  <dcterms:modified xsi:type="dcterms:W3CDTF">2020-06-09T11:52:00Z</dcterms:modified>
</cp:coreProperties>
</file>