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AA29CF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AA29CF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AA29CF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AA29CF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AA29CF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AA29CF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AA29CF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AA29CF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AA29CF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8C9F77E" w:rsidR="0022631D" w:rsidRPr="00AA29C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AA29CF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AA29CF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AA29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AA29CF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AA29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 w:rsidRPr="00AA29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054655" w:rsidRPr="00AA29CF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Մարտունի համայնքի Մարտունի քաղաքի Մյասնիկյան և Երևանյան փողոցների լուսավորության ցանցերի  կառուցման աշխատանքների</w:t>
      </w:r>
      <w:r w:rsidR="0069154F" w:rsidRPr="00AA29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69154F" w:rsidRPr="00AA29CF">
        <w:rPr>
          <w:rFonts w:ascii="Sylfaen" w:eastAsia="Times New Roman" w:hAnsi="Sylfaen" w:cs="Sylfaen"/>
          <w:sz w:val="18"/>
          <w:szCs w:val="18"/>
          <w:lang w:val="hy-AM" w:eastAsia="ru-RU"/>
        </w:rPr>
        <w:t>ձոռքբերման</w:t>
      </w:r>
      <w:r w:rsidR="00126A3E" w:rsidRPr="00AA29C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AA29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054655" w:rsidRPr="00AA29CF">
        <w:rPr>
          <w:rFonts w:ascii="GHEA Grapalat" w:eastAsia="Times New Roman" w:hAnsi="GHEA Grapalat"/>
          <w:sz w:val="18"/>
          <w:szCs w:val="18"/>
          <w:lang w:val="hy-AM" w:eastAsia="ru-RU"/>
        </w:rPr>
        <w:t xml:space="preserve">ԳՄՄՀ-ՀԲՄԱՇՁԲ-25/14        </w:t>
      </w:r>
      <w:r w:rsidR="00A95BBE" w:rsidRPr="00AA29CF">
        <w:rPr>
          <w:rFonts w:ascii="GHEA Grapalat" w:eastAsia="Times New Roman" w:hAnsi="GHEA Grapalat"/>
          <w:b/>
          <w:sz w:val="18"/>
          <w:szCs w:val="18"/>
          <w:lang w:val="hy-AM" w:eastAsia="ru-RU"/>
        </w:rPr>
        <w:t xml:space="preserve"> </w:t>
      </w:r>
      <w:r w:rsidR="0022631D" w:rsidRPr="00AA29CF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AA29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AA29CF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AA29CF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481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55"/>
        <w:gridCol w:w="805"/>
        <w:gridCol w:w="850"/>
        <w:gridCol w:w="740"/>
        <w:gridCol w:w="720"/>
        <w:gridCol w:w="503"/>
        <w:gridCol w:w="397"/>
        <w:gridCol w:w="991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AA29CF" w14:paraId="3BCB0F4A" w14:textId="77777777" w:rsidTr="00054655">
        <w:trPr>
          <w:trHeight w:val="146"/>
        </w:trPr>
        <w:tc>
          <w:tcPr>
            <w:tcW w:w="900" w:type="dxa"/>
            <w:shd w:val="clear" w:color="auto" w:fill="auto"/>
            <w:vAlign w:val="center"/>
          </w:tcPr>
          <w:p w14:paraId="5FD69F2F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5"/>
            <w:shd w:val="clear" w:color="auto" w:fill="auto"/>
            <w:vAlign w:val="center"/>
          </w:tcPr>
          <w:p w14:paraId="47A5B985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AA29CF" w14:paraId="796D388F" w14:textId="77777777" w:rsidTr="00054655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781659E7" w14:textId="0F13217F" w:rsidR="0022631D" w:rsidRPr="00AA29C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AA29C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AA29C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59F68B85" w14:textId="1AC0C099" w:rsidR="0022631D" w:rsidRPr="00AA29CF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62535C49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AA29C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AA29C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AA29CF" w14:paraId="02BE1D52" w14:textId="77777777" w:rsidTr="00054655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6E1FBC69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374821C4" w14:textId="477626F1" w:rsidR="0022631D" w:rsidRPr="00AA29CF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4421A9" w14:textId="77777777" w:rsidR="0022631D" w:rsidRPr="00AA29C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01CC38D9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A29CF" w14:paraId="688F77C8" w14:textId="77777777" w:rsidTr="00054655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AA29CF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4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A29C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E86468" w:rsidRPr="00AA29CF" w14:paraId="6CB0AC86" w14:textId="77777777" w:rsidTr="00054655">
        <w:trPr>
          <w:trHeight w:val="40"/>
        </w:trPr>
        <w:tc>
          <w:tcPr>
            <w:tcW w:w="900" w:type="dxa"/>
            <w:shd w:val="clear" w:color="auto" w:fill="auto"/>
            <w:vAlign w:val="center"/>
          </w:tcPr>
          <w:p w14:paraId="62F33415" w14:textId="77777777" w:rsidR="00E86468" w:rsidRPr="00AA29CF" w:rsidRDefault="00E86468" w:rsidP="00E864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2721F035" w14:textId="4B020128" w:rsidR="00E86468" w:rsidRPr="00AA29CF" w:rsidRDefault="00054655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Մարտունի համայնքի Մարտունի քաղաքի Մյասնիկյան և Երևանյան փողոցների լուսավորության ցանցերի կառուցման աշխատանքներ: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5D7C8AE" w:rsidR="00E86468" w:rsidRPr="00AA29CF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E86468" w:rsidRPr="00AA29CF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D0FA67" w:rsidR="00E86468" w:rsidRPr="00AA29CF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E86468" w:rsidRPr="00AA29CF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E86468" w:rsidRPr="00AA29CF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2401932" w14:textId="3484B6D3" w:rsidR="00E86468" w:rsidRPr="00AA29CF" w:rsidRDefault="00054655" w:rsidP="00E864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GHEA Grapalat" w:hAnsi="GHEA Grapalat"/>
                <w:sz w:val="18"/>
                <w:szCs w:val="18"/>
                <w:lang w:val="hy-AM"/>
              </w:rPr>
              <w:t>160 148 100</w:t>
            </w:r>
          </w:p>
        </w:tc>
        <w:tc>
          <w:tcPr>
            <w:tcW w:w="1985" w:type="dxa"/>
            <w:gridSpan w:val="4"/>
            <w:vAlign w:val="center"/>
          </w:tcPr>
          <w:p w14:paraId="1013593A" w14:textId="0B9044DD" w:rsidR="00E86468" w:rsidRPr="00AA29CF" w:rsidRDefault="00054655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Մարտունի համայնքի Մարտունի քաղաքի Մյասնիկյան և Երևանյան փողոցների լուսավորության ցանցերի կառուցման աշխատանքներ:</w:t>
            </w:r>
          </w:p>
        </w:tc>
        <w:tc>
          <w:tcPr>
            <w:tcW w:w="2359" w:type="dxa"/>
            <w:gridSpan w:val="2"/>
            <w:vAlign w:val="center"/>
          </w:tcPr>
          <w:p w14:paraId="5152B32D" w14:textId="29040D15" w:rsidR="00E86468" w:rsidRPr="00AA29CF" w:rsidRDefault="00054655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Մարտունի համայնքի Մարտունի քաղաքի Մյասնիկյան և Երևանյան փողոցների լուսավորության ցանցերի կառուցման աշխատանքներ:</w:t>
            </w:r>
          </w:p>
        </w:tc>
      </w:tr>
      <w:tr w:rsidR="0022631D" w:rsidRPr="00AA29CF" w14:paraId="4B8BC031" w14:textId="77777777" w:rsidTr="00054655">
        <w:trPr>
          <w:trHeight w:val="169"/>
        </w:trPr>
        <w:tc>
          <w:tcPr>
            <w:tcW w:w="11481" w:type="dxa"/>
            <w:gridSpan w:val="16"/>
            <w:shd w:val="clear" w:color="auto" w:fill="99CCFF"/>
            <w:vAlign w:val="center"/>
          </w:tcPr>
          <w:p w14:paraId="451180EC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A29CF" w14:paraId="24C3B0CB" w14:textId="77777777" w:rsidTr="00054655">
        <w:trPr>
          <w:trHeight w:val="137"/>
        </w:trPr>
        <w:tc>
          <w:tcPr>
            <w:tcW w:w="5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AA29CF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գնման ընթացակարգը և դրա</w:t>
            </w:r>
            <w:r w:rsidR="00592185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463FE06" w:rsidR="0022631D" w:rsidRPr="00AA29CF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7132BB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</w:t>
            </w:r>
            <w:r w:rsidR="006219AB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AA29CF" w14:paraId="075EEA57" w14:textId="77777777" w:rsidTr="00054655">
        <w:trPr>
          <w:trHeight w:val="196"/>
        </w:trPr>
        <w:tc>
          <w:tcPr>
            <w:tcW w:w="1148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A29CF" w14:paraId="681596E8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E33952" w:rsidR="0022631D" w:rsidRPr="00AA29CF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691F00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7</w:t>
            </w:r>
            <w:r w:rsidR="00B926D7"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E86468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14</w:t>
            </w:r>
            <w:r w:rsidR="00B9498A" w:rsidRPr="00AA29C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AA29CF" w14:paraId="199F948A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25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AA29CF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A29CF" w14:paraId="6EE9B008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25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A29CF" w14:paraId="13FE412E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AA29CF" w14:paraId="321D26CF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A29CF" w14:paraId="68E691E2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A29CF" w14:paraId="30B89418" w14:textId="77777777" w:rsidTr="00054655">
        <w:trPr>
          <w:trHeight w:val="54"/>
        </w:trPr>
        <w:tc>
          <w:tcPr>
            <w:tcW w:w="11481" w:type="dxa"/>
            <w:gridSpan w:val="16"/>
            <w:shd w:val="clear" w:color="auto" w:fill="99CCFF"/>
            <w:vAlign w:val="center"/>
          </w:tcPr>
          <w:p w14:paraId="70776DB4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AA29CF" w14:paraId="10DC4861" w14:textId="77777777" w:rsidTr="00054655">
        <w:trPr>
          <w:trHeight w:val="605"/>
        </w:trPr>
        <w:tc>
          <w:tcPr>
            <w:tcW w:w="165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AA29C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395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AA29C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431" w:type="dxa"/>
            <w:gridSpan w:val="11"/>
            <w:shd w:val="clear" w:color="auto" w:fill="auto"/>
            <w:vAlign w:val="center"/>
          </w:tcPr>
          <w:p w14:paraId="1FD38684" w14:textId="488F95E4" w:rsidR="006F2779" w:rsidRPr="00AA29CF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AA29CF" w14:paraId="3FD00E3A" w14:textId="77777777" w:rsidTr="00054655">
        <w:trPr>
          <w:trHeight w:val="365"/>
        </w:trPr>
        <w:tc>
          <w:tcPr>
            <w:tcW w:w="165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AA29C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AA29C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1" w:type="dxa"/>
            <w:gridSpan w:val="4"/>
            <w:shd w:val="clear" w:color="auto" w:fill="auto"/>
            <w:vAlign w:val="center"/>
          </w:tcPr>
          <w:p w14:paraId="27542D69" w14:textId="77777777" w:rsidR="00012170" w:rsidRPr="00AA29C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AA29C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AA29C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AA29CF" w14:paraId="700CD07F" w14:textId="77777777" w:rsidTr="00054655">
        <w:trPr>
          <w:trHeight w:val="288"/>
        </w:trPr>
        <w:tc>
          <w:tcPr>
            <w:tcW w:w="11481" w:type="dxa"/>
            <w:gridSpan w:val="16"/>
            <w:shd w:val="clear" w:color="auto" w:fill="99CCFF"/>
            <w:vAlign w:val="center"/>
          </w:tcPr>
          <w:p w14:paraId="10ED0606" w14:textId="77777777" w:rsidR="00296B05" w:rsidRPr="00AA29CF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51"/>
        <w:gridCol w:w="2521"/>
        <w:gridCol w:w="1586"/>
        <w:gridCol w:w="1752"/>
        <w:gridCol w:w="1351"/>
        <w:gridCol w:w="2701"/>
      </w:tblGrid>
      <w:tr w:rsidR="00AA29CF" w:rsidRPr="00AA29CF" w14:paraId="08D2786E" w14:textId="77777777" w:rsidTr="00AA29CF">
        <w:trPr>
          <w:trHeight w:val="413"/>
        </w:trPr>
        <w:tc>
          <w:tcPr>
            <w:tcW w:w="1351" w:type="dxa"/>
          </w:tcPr>
          <w:p w14:paraId="4A3AA5FB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en-US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en-US"/>
              </w:rPr>
              <w:t>N</w:t>
            </w:r>
          </w:p>
        </w:tc>
        <w:tc>
          <w:tcPr>
            <w:tcW w:w="2521" w:type="dxa"/>
          </w:tcPr>
          <w:p w14:paraId="46FE74C3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Կազմակերպության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586" w:type="dxa"/>
          </w:tcPr>
          <w:p w14:paraId="2AD229DE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Նախահաշվային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արժեքը</w:t>
            </w:r>
          </w:p>
          <w:p w14:paraId="5B9CF8FF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/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/</w:t>
            </w:r>
          </w:p>
        </w:tc>
        <w:tc>
          <w:tcPr>
            <w:tcW w:w="1752" w:type="dxa"/>
          </w:tcPr>
          <w:p w14:paraId="30093630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Ինքնարժեք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շահույթ</w:t>
            </w:r>
          </w:p>
          <w:p w14:paraId="6C70AA53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/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/</w:t>
            </w:r>
          </w:p>
        </w:tc>
        <w:tc>
          <w:tcPr>
            <w:tcW w:w="1351" w:type="dxa"/>
          </w:tcPr>
          <w:p w14:paraId="394318A8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ԱԱՀ</w:t>
            </w:r>
          </w:p>
          <w:p w14:paraId="5E15AB16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/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/</w:t>
            </w:r>
          </w:p>
        </w:tc>
        <w:tc>
          <w:tcPr>
            <w:tcW w:w="2701" w:type="dxa"/>
          </w:tcPr>
          <w:p w14:paraId="005164D4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Ընդհանուր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գինը</w:t>
            </w:r>
          </w:p>
          <w:p w14:paraId="4D95D9D4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/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/</w:t>
            </w:r>
          </w:p>
        </w:tc>
      </w:tr>
      <w:tr w:rsidR="00AA29CF" w:rsidRPr="00AA29CF" w14:paraId="37C37535" w14:textId="77777777" w:rsidTr="00AA29CF">
        <w:trPr>
          <w:trHeight w:val="521"/>
        </w:trPr>
        <w:tc>
          <w:tcPr>
            <w:tcW w:w="1351" w:type="dxa"/>
          </w:tcPr>
          <w:p w14:paraId="0D62D0BB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Չափաբաժին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1</w:t>
            </w:r>
          </w:p>
        </w:tc>
        <w:tc>
          <w:tcPr>
            <w:tcW w:w="2521" w:type="dxa"/>
          </w:tcPr>
          <w:p w14:paraId="22EE5553" w14:textId="77777777" w:rsidR="00AA29CF" w:rsidRPr="00AA29CF" w:rsidRDefault="00AA29CF" w:rsidP="00F80F57">
            <w:pPr>
              <w:rPr>
                <w:rFonts w:ascii="Arial LatRus" w:hAnsi="Arial LatRus" w:cs="Arial"/>
                <w:sz w:val="18"/>
                <w:szCs w:val="18"/>
                <w:lang w:val="hy-AM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2C4C1E41" w14:textId="77777777" w:rsidR="00AA29CF" w:rsidRPr="00AA29CF" w:rsidRDefault="00AA29CF" w:rsidP="00F80F57">
            <w:pPr>
              <w:jc w:val="center"/>
              <w:rPr>
                <w:rFonts w:ascii="Arial LatRus" w:hAnsi="Arial LatRus" w:cs="Arial"/>
                <w:b/>
                <w:sz w:val="18"/>
                <w:szCs w:val="18"/>
              </w:rPr>
            </w:pPr>
            <w:r w:rsidRPr="00AA29CF">
              <w:rPr>
                <w:rFonts w:ascii="Arial LatRus" w:hAnsi="Arial LatRus" w:cs="Arial"/>
                <w:b/>
                <w:sz w:val="18"/>
                <w:szCs w:val="18"/>
              </w:rPr>
              <w:t>160 148 100</w:t>
            </w:r>
          </w:p>
        </w:tc>
        <w:tc>
          <w:tcPr>
            <w:tcW w:w="1752" w:type="dxa"/>
            <w:vAlign w:val="center"/>
          </w:tcPr>
          <w:p w14:paraId="7F3179ED" w14:textId="77777777" w:rsidR="00AA29CF" w:rsidRPr="00AA29CF" w:rsidRDefault="00AA29CF" w:rsidP="00F80F57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281F82E4" w14:textId="77777777" w:rsidR="00AA29CF" w:rsidRPr="00AA29CF" w:rsidRDefault="00AA29CF" w:rsidP="00F80F57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18"/>
                <w:szCs w:val="18"/>
              </w:rPr>
            </w:pPr>
          </w:p>
        </w:tc>
        <w:tc>
          <w:tcPr>
            <w:tcW w:w="2701" w:type="dxa"/>
            <w:vAlign w:val="center"/>
          </w:tcPr>
          <w:p w14:paraId="5BED402A" w14:textId="77777777" w:rsidR="00AA29CF" w:rsidRPr="00AA29CF" w:rsidRDefault="00AA29CF" w:rsidP="00F80F57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18"/>
                <w:szCs w:val="18"/>
              </w:rPr>
            </w:pPr>
          </w:p>
        </w:tc>
      </w:tr>
      <w:tr w:rsidR="00AA29CF" w:rsidRPr="00AA29CF" w14:paraId="50D469EC" w14:textId="77777777" w:rsidTr="00AA29CF">
        <w:trPr>
          <w:trHeight w:val="395"/>
        </w:trPr>
        <w:tc>
          <w:tcPr>
            <w:tcW w:w="1351" w:type="dxa"/>
            <w:vAlign w:val="center"/>
          </w:tcPr>
          <w:p w14:paraId="607445F2" w14:textId="77777777" w:rsidR="00AA29CF" w:rsidRPr="00AA29CF" w:rsidRDefault="00AA29CF" w:rsidP="00F80F57">
            <w:pPr>
              <w:jc w:val="center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521" w:type="dxa"/>
            <w:vAlign w:val="center"/>
          </w:tcPr>
          <w:p w14:paraId="67AC50FE" w14:textId="77777777" w:rsidR="00AA29CF" w:rsidRPr="00AA29CF" w:rsidRDefault="00AA29CF" w:rsidP="00F80F57">
            <w:pPr>
              <w:jc w:val="center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ԼԱՅԹՒՆԳ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ԱԼԵՔ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»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86" w:type="dxa"/>
            <w:vMerge/>
            <w:vAlign w:val="center"/>
          </w:tcPr>
          <w:p w14:paraId="58AC18AF" w14:textId="77777777" w:rsidR="00AA29CF" w:rsidRPr="00AA29CF" w:rsidRDefault="00AA29CF" w:rsidP="00F80F57">
            <w:pPr>
              <w:jc w:val="center"/>
              <w:rPr>
                <w:rFonts w:ascii="Arial LatRus" w:hAnsi="Arial LatRus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752" w:type="dxa"/>
            <w:vAlign w:val="center"/>
          </w:tcPr>
          <w:p w14:paraId="5D3BC771" w14:textId="77777777" w:rsidR="00AA29CF" w:rsidRPr="00AA29CF" w:rsidRDefault="00AA29CF" w:rsidP="00F80F57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119 000 000</w:t>
            </w:r>
          </w:p>
        </w:tc>
        <w:tc>
          <w:tcPr>
            <w:tcW w:w="1351" w:type="dxa"/>
            <w:vAlign w:val="center"/>
          </w:tcPr>
          <w:p w14:paraId="595F1A08" w14:textId="77777777" w:rsidR="00AA29CF" w:rsidRPr="00AA29CF" w:rsidRDefault="00AA29CF" w:rsidP="00F80F57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23 800 000</w:t>
            </w:r>
          </w:p>
        </w:tc>
        <w:tc>
          <w:tcPr>
            <w:tcW w:w="2701" w:type="dxa"/>
            <w:vAlign w:val="center"/>
          </w:tcPr>
          <w:p w14:paraId="307698E6" w14:textId="77777777" w:rsidR="00AA29CF" w:rsidRPr="00AA29CF" w:rsidRDefault="00AA29CF" w:rsidP="00F80F57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142 800 000</w:t>
            </w:r>
          </w:p>
        </w:tc>
      </w:tr>
      <w:tr w:rsidR="00AA29CF" w:rsidRPr="00AA29CF" w14:paraId="522EC181" w14:textId="77777777" w:rsidTr="00AA29CF">
        <w:trPr>
          <w:trHeight w:val="1034"/>
        </w:trPr>
        <w:tc>
          <w:tcPr>
            <w:tcW w:w="1351" w:type="dxa"/>
            <w:vAlign w:val="center"/>
          </w:tcPr>
          <w:p w14:paraId="7FF06FAD" w14:textId="77777777" w:rsidR="00AA29CF" w:rsidRPr="00AA29CF" w:rsidRDefault="00AA29CF" w:rsidP="00F80F57">
            <w:pPr>
              <w:jc w:val="center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2521" w:type="dxa"/>
            <w:vAlign w:val="center"/>
          </w:tcPr>
          <w:p w14:paraId="45F94419" w14:textId="77777777" w:rsidR="00AA29CF" w:rsidRPr="00AA29CF" w:rsidRDefault="00AA29CF" w:rsidP="00F80F57">
            <w:pPr>
              <w:jc w:val="center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Ռենյուաբլ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Քոքասըս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Քորփորեյշն</w:t>
            </w: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» </w:t>
            </w:r>
            <w:r w:rsidRPr="00AA29CF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86" w:type="dxa"/>
            <w:vMerge/>
            <w:vAlign w:val="center"/>
          </w:tcPr>
          <w:p w14:paraId="06B63D7D" w14:textId="77777777" w:rsidR="00AA29CF" w:rsidRPr="00AA29CF" w:rsidRDefault="00AA29CF" w:rsidP="00F80F57">
            <w:pPr>
              <w:jc w:val="center"/>
              <w:rPr>
                <w:rFonts w:ascii="Arial LatRus" w:hAnsi="Arial LatRus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752" w:type="dxa"/>
            <w:vAlign w:val="center"/>
          </w:tcPr>
          <w:p w14:paraId="1861A60D" w14:textId="77777777" w:rsidR="00AA29CF" w:rsidRPr="00AA29CF" w:rsidRDefault="00AA29CF" w:rsidP="00F80F57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102 250 000</w:t>
            </w:r>
          </w:p>
        </w:tc>
        <w:tc>
          <w:tcPr>
            <w:tcW w:w="1351" w:type="dxa"/>
            <w:vAlign w:val="center"/>
          </w:tcPr>
          <w:p w14:paraId="752BF8B1" w14:textId="77777777" w:rsidR="00AA29CF" w:rsidRPr="00AA29CF" w:rsidRDefault="00AA29CF" w:rsidP="00F80F57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20 450 000</w:t>
            </w:r>
          </w:p>
        </w:tc>
        <w:tc>
          <w:tcPr>
            <w:tcW w:w="2701" w:type="dxa"/>
            <w:vAlign w:val="center"/>
          </w:tcPr>
          <w:p w14:paraId="32F09271" w14:textId="77777777" w:rsidR="00AA29CF" w:rsidRPr="00AA29CF" w:rsidRDefault="00AA29CF" w:rsidP="00F80F57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122 700 000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AA29CF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AA29CF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AA29CF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AA29CF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AA29C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AA29CF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A29CF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AA29CF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AA29CF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AA29CF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A29CF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A29CF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A29CF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A29CF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AA29CF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AA29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A29CF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AA29CF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AA29CF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A29CF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AA29CF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AA29CF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AA29CF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AA29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621174D" w:rsidR="0022631D" w:rsidRPr="00AA29CF" w:rsidRDefault="00AA29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06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8</w:t>
            </w:r>
            <w:r w:rsidR="003A20AA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AA29CF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442ADA5" w:rsidR="0022631D" w:rsidRPr="00AA29CF" w:rsidRDefault="00AA29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16</w:t>
            </w:r>
            <w:r w:rsidR="00183368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 w:rsidR="00691F00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8</w:t>
            </w:r>
            <w:r w:rsidR="007A1008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AA29CF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AA29CF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032FB47" w:rsidR="0022631D" w:rsidRPr="00AA29CF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7D7E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21</w:t>
            </w:r>
            <w:r w:rsidR="00D76FD0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335A53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A31493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8</w:t>
            </w:r>
            <w:r w:rsidR="00335A53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AA29CF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AA29CF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7A20F41" w:rsidR="0022631D" w:rsidRPr="00AA29CF" w:rsidRDefault="007D7E53" w:rsidP="00A3149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9</w:t>
            </w:r>
            <w:r w:rsidR="007C59F2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.2025թ</w:t>
            </w:r>
            <w:r w:rsidR="00A31493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A31493" w:rsidRPr="00AA29CF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31493" w:rsidRPr="00AA29CF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674465" w:rsidR="00A31493" w:rsidRPr="00AA29CF" w:rsidRDefault="007D7E53" w:rsidP="00A3149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9</w:t>
            </w:r>
            <w:r w:rsidR="00A31493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.2025թ.</w:t>
            </w:r>
          </w:p>
        </w:tc>
      </w:tr>
      <w:tr w:rsidR="00A31493" w:rsidRPr="00AA29CF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31493" w:rsidRPr="00AA29CF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A31493" w:rsidRPr="00AA29CF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A31493" w:rsidRPr="00AA29CF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A31493" w:rsidRPr="00AA29CF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A31493" w:rsidRPr="00AA29CF" w14:paraId="1E28D31D" w14:textId="77777777" w:rsidTr="00003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066FDD10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8"/>
                <w:szCs w:val="18"/>
                <w:lang w:eastAsia="ru-RU"/>
              </w:rPr>
            </w:pPr>
            <w:r w:rsidRPr="00AA29CF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="001329D5" w:rsidRPr="001329D5">
              <w:rPr>
                <w:rFonts w:ascii="Arial" w:hAnsi="Arial" w:cs="Arial"/>
                <w:sz w:val="18"/>
                <w:szCs w:val="18"/>
                <w:lang w:val="hy-AM"/>
              </w:rPr>
              <w:t>«Ռենյուաբլ Քոքասըս Քորփորեյշն»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4537CC45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ԳՄՄՀ-ՀԲՄԱՇՁԲ-25/13-01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38F4272F" w:rsidR="00A31493" w:rsidRPr="00AA29CF" w:rsidRDefault="001329D5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1329D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02.09.2025թ.</w:t>
            </w:r>
            <w:r w:rsidR="00A31493"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10A7BBF" w14:textId="71244916" w:rsidR="00A31493" w:rsidRPr="00AA29CF" w:rsidRDefault="001329D5" w:rsidP="00A3149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329D5">
              <w:rPr>
                <w:rFonts w:ascii="GHEA Grapalat" w:hAnsi="GHEA Grapalat"/>
                <w:sz w:val="18"/>
                <w:szCs w:val="18"/>
                <w:lang w:val="hy-AM"/>
              </w:rPr>
              <w:t>90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640D0C3B" w:rsidR="00A31493" w:rsidRPr="00AA29CF" w:rsidRDefault="001329D5" w:rsidP="00A3149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329D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122 700 000</w:t>
            </w:r>
          </w:p>
        </w:tc>
      </w:tr>
      <w:tr w:rsidR="00A31493" w:rsidRPr="00AA29CF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A31493" w:rsidRPr="00AA29CF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AA29CF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BA28C1" w:rsidRPr="00AA29CF" w14:paraId="20BC55B9" w14:textId="77777777" w:rsidTr="00CA6F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BA28C1" w:rsidRPr="00AA29CF" w:rsidRDefault="00BA28C1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3E09090" w14:textId="708474EE" w:rsidR="00BA28C1" w:rsidRPr="00AA29CF" w:rsidRDefault="001329D5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329D5">
              <w:rPr>
                <w:sz w:val="18"/>
                <w:szCs w:val="18"/>
                <w:lang w:val="ru-RU"/>
              </w:rPr>
              <w:t>«Ռենյուաբլ Քոքասըս Քորփորեյշն»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0B537EFC" w:rsidR="00BA28C1" w:rsidRPr="00AA29CF" w:rsidRDefault="001329D5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1329D5">
              <w:rPr>
                <w:rFonts w:ascii="Sylfaen" w:eastAsia="Times New Roman" w:hAnsi="Sylfaen"/>
                <w:b/>
                <w:noProof/>
                <w:sz w:val="18"/>
                <w:szCs w:val="18"/>
                <w:lang w:val="hy-AM"/>
              </w:rPr>
              <w:t>ՀՀ ք</w:t>
            </w:r>
            <w:r w:rsidRPr="001329D5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hy-AM"/>
              </w:rPr>
              <w:t>․</w:t>
            </w:r>
            <w:r w:rsidRPr="001329D5">
              <w:rPr>
                <w:rFonts w:ascii="Sylfaen" w:eastAsia="Times New Roman" w:hAnsi="Sylfaen"/>
                <w:b/>
                <w:noProof/>
                <w:sz w:val="18"/>
                <w:szCs w:val="18"/>
                <w:lang w:val="hy-AM"/>
              </w:rPr>
              <w:t xml:space="preserve"> Արտաշատ, Արտաշատ-Դալար խճ</w:t>
            </w:r>
            <w:r w:rsidRPr="001329D5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hy-AM"/>
              </w:rPr>
              <w:t>․</w:t>
            </w:r>
            <w:r w:rsidRPr="001329D5">
              <w:rPr>
                <w:rFonts w:ascii="Sylfaen" w:eastAsia="Times New Roman" w:hAnsi="Sylfaen"/>
                <w:b/>
                <w:noProof/>
                <w:sz w:val="18"/>
                <w:szCs w:val="18"/>
                <w:lang w:val="hy-AM"/>
              </w:rPr>
              <w:t xml:space="preserve"> 1/1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B44FE7" w14:textId="77777777" w:rsidR="001329D5" w:rsidRPr="001329D5" w:rsidRDefault="001329D5" w:rsidP="001329D5">
            <w:pPr>
              <w:widowControl w:val="0"/>
              <w:spacing w:before="0" w:after="0"/>
              <w:ind w:left="0" w:firstLine="0"/>
              <w:rPr>
                <w:sz w:val="18"/>
                <w:szCs w:val="18"/>
              </w:rPr>
            </w:pPr>
            <w:hyperlink r:id="rId8" w:history="1">
              <w:r w:rsidRPr="001329D5">
                <w:rPr>
                  <w:rStyle w:val="Hyperlink"/>
                  <w:sz w:val="18"/>
                  <w:szCs w:val="18"/>
                </w:rPr>
                <w:t>hovhannes.aristakesyan@bk.ru</w:t>
              </w:r>
            </w:hyperlink>
          </w:p>
          <w:p w14:paraId="07F71670" w14:textId="5F5CC311" w:rsidR="00BA28C1" w:rsidRPr="00AA29CF" w:rsidRDefault="00BA28C1" w:rsidP="00BA28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84115E5" w:rsidR="00BA28C1" w:rsidRPr="00BA4C7D" w:rsidRDefault="00BA4C7D" w:rsidP="00BA28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2500010831960100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96E4D24" w:rsidR="00BA28C1" w:rsidRPr="00BA4C7D" w:rsidRDefault="00BA4C7D" w:rsidP="00BA28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04228733</w:t>
            </w:r>
            <w:bookmarkStart w:id="0" w:name="_GoBack"/>
            <w:bookmarkEnd w:id="0"/>
          </w:p>
        </w:tc>
      </w:tr>
      <w:tr w:rsidR="00A31493" w:rsidRPr="00AA29CF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AA29CF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31493" w:rsidRPr="00AA29CF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31493" w:rsidRPr="00AA29CF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AA29CF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Որևէ չափաբաժնի չկայացման դեպքում պատվիրատուն պարտավոր է </w:t>
            </w:r>
            <w:r w:rsidRPr="00AA29CF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lastRenderedPageBreak/>
              <w:t>լրացնել տեղեկություններ չկայացման վերաբերյալ</w:t>
            </w:r>
            <w:r w:rsidRPr="00AA29CF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A31493" w:rsidRPr="00AA29CF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31493" w:rsidRPr="00AA29CF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A31493" w:rsidRPr="00AA29CF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A31493" w:rsidRPr="00AA29CF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A31493" w:rsidRPr="00AA29CF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A31493" w:rsidRPr="00AA29CF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A31493" w:rsidRPr="00AA29CF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A31493" w:rsidRPr="00AA29CF" w:rsidRDefault="00A31493" w:rsidP="00A314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A31493" w:rsidRPr="00AA29CF" w:rsidRDefault="00A31493" w:rsidP="00A314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AA29CF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A31493" w:rsidRPr="00AA29CF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AA29CF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31493" w:rsidRPr="00AA29CF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AA29CF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31493" w:rsidRPr="00AA29CF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AA29CF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31493" w:rsidRPr="00AA29CF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31493" w:rsidRPr="00AA29CF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31493" w:rsidRPr="00AA29CF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AA29C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AA29C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31493" w:rsidRPr="00AA29CF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AA29CF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31493" w:rsidRPr="00AA29CF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31493" w:rsidRPr="00AA29CF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31493" w:rsidRPr="00AA29CF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A31493" w:rsidRPr="00AA29CF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31493" w:rsidRPr="00AA29CF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A31493" w:rsidRPr="00AA29CF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AA29C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A31493" w:rsidRPr="00AA29CF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31493" w:rsidRPr="00AA29CF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31493" w:rsidRPr="00AA29CF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31493" w:rsidRPr="00AA29CF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A29C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A31493" w:rsidRPr="00AA29CF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A31493" w:rsidRPr="00AA29CF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AA29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A31493" w:rsidRPr="00AA29CF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A31493" w:rsidRPr="00AA29CF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AA29CF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AA29CF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AA29CF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AA29CF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AA29C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F2EE" w14:textId="77777777" w:rsidR="00BC3C90" w:rsidRDefault="00BC3C90" w:rsidP="0022631D">
      <w:pPr>
        <w:spacing w:before="0" w:after="0"/>
      </w:pPr>
      <w:r>
        <w:separator/>
      </w:r>
    </w:p>
  </w:endnote>
  <w:endnote w:type="continuationSeparator" w:id="0">
    <w:p w14:paraId="5C66C1AE" w14:textId="77777777" w:rsidR="00BC3C90" w:rsidRDefault="00BC3C9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91923" w14:textId="77777777" w:rsidR="00BC3C90" w:rsidRDefault="00BC3C90" w:rsidP="0022631D">
      <w:pPr>
        <w:spacing w:before="0" w:after="0"/>
      </w:pPr>
      <w:r>
        <w:separator/>
      </w:r>
    </w:p>
  </w:footnote>
  <w:footnote w:type="continuationSeparator" w:id="0">
    <w:p w14:paraId="5AC2C303" w14:textId="77777777" w:rsidR="00BC3C90" w:rsidRDefault="00BC3C90" w:rsidP="0022631D">
      <w:pPr>
        <w:spacing w:before="0" w:after="0"/>
      </w:pPr>
      <w:r>
        <w:continuationSeparator/>
      </w:r>
    </w:p>
  </w:footnote>
  <w:footnote w:id="1">
    <w:p w14:paraId="771AD2C5" w14:textId="77777777" w:rsidR="00A31493" w:rsidRPr="00871366" w:rsidRDefault="00A314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A31493" w:rsidRPr="002D0BF6" w:rsidRDefault="00A3149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31493" w:rsidRPr="0078682E" w:rsidRDefault="00A3149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31493" w:rsidRPr="0078682E" w:rsidRDefault="00A3149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31493" w:rsidRPr="00005B9C" w:rsidRDefault="00A3149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54655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2832"/>
    <w:rsid w:val="001329D5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3CD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01E5"/>
    <w:rsid w:val="004E376E"/>
    <w:rsid w:val="004F673F"/>
    <w:rsid w:val="004F7CBD"/>
    <w:rsid w:val="00503BCC"/>
    <w:rsid w:val="0051105F"/>
    <w:rsid w:val="00513D9B"/>
    <w:rsid w:val="00521A6D"/>
    <w:rsid w:val="0053055B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5E7C2E"/>
    <w:rsid w:val="00601E4D"/>
    <w:rsid w:val="00607C9A"/>
    <w:rsid w:val="006219AB"/>
    <w:rsid w:val="006225F4"/>
    <w:rsid w:val="00646760"/>
    <w:rsid w:val="00661C1E"/>
    <w:rsid w:val="006705ED"/>
    <w:rsid w:val="006839EA"/>
    <w:rsid w:val="00684D11"/>
    <w:rsid w:val="0069079A"/>
    <w:rsid w:val="00690ECB"/>
    <w:rsid w:val="0069154F"/>
    <w:rsid w:val="00691F00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132BB"/>
    <w:rsid w:val="00726D73"/>
    <w:rsid w:val="00772F78"/>
    <w:rsid w:val="007732E7"/>
    <w:rsid w:val="00777CC8"/>
    <w:rsid w:val="00783E6B"/>
    <w:rsid w:val="0078682E"/>
    <w:rsid w:val="007923C7"/>
    <w:rsid w:val="00794964"/>
    <w:rsid w:val="007A1008"/>
    <w:rsid w:val="007C59F2"/>
    <w:rsid w:val="007D7E53"/>
    <w:rsid w:val="007E0754"/>
    <w:rsid w:val="007E662A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493"/>
    <w:rsid w:val="00A31820"/>
    <w:rsid w:val="00A77C33"/>
    <w:rsid w:val="00A80991"/>
    <w:rsid w:val="00A83978"/>
    <w:rsid w:val="00A95BBE"/>
    <w:rsid w:val="00AA29CF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43F35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28C1"/>
    <w:rsid w:val="00BA4C7D"/>
    <w:rsid w:val="00BB0A93"/>
    <w:rsid w:val="00BB2515"/>
    <w:rsid w:val="00BB584C"/>
    <w:rsid w:val="00BC16E5"/>
    <w:rsid w:val="00BC3C90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1852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384D"/>
    <w:rsid w:val="00D76FD0"/>
    <w:rsid w:val="00D77959"/>
    <w:rsid w:val="00D80918"/>
    <w:rsid w:val="00D80C64"/>
    <w:rsid w:val="00D8324C"/>
    <w:rsid w:val="00D83326"/>
    <w:rsid w:val="00D84D7F"/>
    <w:rsid w:val="00DB6F61"/>
    <w:rsid w:val="00DD5ACB"/>
    <w:rsid w:val="00DD64EE"/>
    <w:rsid w:val="00DE06F1"/>
    <w:rsid w:val="00E0123E"/>
    <w:rsid w:val="00E0204B"/>
    <w:rsid w:val="00E115B0"/>
    <w:rsid w:val="00E243EA"/>
    <w:rsid w:val="00E33A25"/>
    <w:rsid w:val="00E4188B"/>
    <w:rsid w:val="00E46A4E"/>
    <w:rsid w:val="00E54C4D"/>
    <w:rsid w:val="00E56328"/>
    <w:rsid w:val="00E63191"/>
    <w:rsid w:val="00E81913"/>
    <w:rsid w:val="00E86468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C4BE5"/>
    <w:rsid w:val="00FD17E0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vhannes.aristakes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B65D-9AE5-4AF3-B053-B083EA8E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290</cp:revision>
  <cp:lastPrinted>2021-04-06T07:47:00Z</cp:lastPrinted>
  <dcterms:created xsi:type="dcterms:W3CDTF">2021-06-28T12:08:00Z</dcterms:created>
  <dcterms:modified xsi:type="dcterms:W3CDTF">2025-09-05T05:34:00Z</dcterms:modified>
</cp:coreProperties>
</file>