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4546FB" w:rsidRPr="004546FB">
        <w:rPr>
          <w:rFonts w:ascii="GHEA Grapalat" w:hAnsi="GHEA Grapalat"/>
          <w:i w:val="0"/>
          <w:sz w:val="24"/>
          <w:szCs w:val="24"/>
        </w:rPr>
        <w:t>1</w:t>
      </w:r>
      <w:r w:rsidR="00C24CA7" w:rsidRPr="00C24CA7">
        <w:rPr>
          <w:rFonts w:ascii="GHEA Grapalat" w:hAnsi="GHEA Grapalat"/>
          <w:i w:val="0"/>
          <w:sz w:val="24"/>
          <w:szCs w:val="24"/>
        </w:rPr>
        <w:t>4</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4546FB" w:rsidRPr="004546FB">
        <w:rPr>
          <w:rFonts w:ascii="GHEA Grapalat" w:hAnsi="GHEA Grapalat"/>
          <w:i w:val="0"/>
          <w:sz w:val="22"/>
          <w:szCs w:val="24"/>
        </w:rPr>
        <w:t>апрел</w:t>
      </w:r>
      <w:r w:rsidR="005617D2" w:rsidRPr="005617D2">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6FB">
        <w:rPr>
          <w:rFonts w:ascii="GHEA Grapalat" w:hAnsi="GHEA Grapalat"/>
          <w:i w:val="0"/>
          <w:sz w:val="24"/>
          <w:szCs w:val="24"/>
        </w:rPr>
        <w:t>AMAKB-GHAPDzB-</w:t>
      </w:r>
      <w:r w:rsidR="00DD7A0A">
        <w:rPr>
          <w:rFonts w:ascii="GHEA Grapalat" w:hAnsi="GHEA Grapalat"/>
          <w:i w:val="0"/>
          <w:sz w:val="24"/>
          <w:szCs w:val="24"/>
        </w:rPr>
        <w:t>26/7</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r w:rsidR="004546FB">
        <w:rPr>
          <w:rFonts w:ascii="GHEA Grapalat" w:hAnsi="GHEA Grapalat"/>
          <w:i w:val="0"/>
          <w:sz w:val="22"/>
          <w:szCs w:val="22"/>
        </w:rPr>
        <w:t>Озеленение и благоустройство Аштарака</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DD7A0A">
        <w:rPr>
          <w:rFonts w:ascii="GHEA Grapalat" w:hAnsi="GHEA Grapalat" w:hint="eastAsia"/>
          <w:i w:val="0"/>
          <w:sz w:val="24"/>
          <w:szCs w:val="24"/>
        </w:rPr>
        <w:t>Шины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DD7A0A">
        <w:rPr>
          <w:rFonts w:ascii="GHEA Grapalat" w:hAnsi="GHEA Grapalat"/>
          <w:i w:val="0"/>
          <w:sz w:val="24"/>
          <w:szCs w:val="24"/>
        </w:rPr>
        <w:t>10:30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DD7A0A">
        <w:rPr>
          <w:rFonts w:ascii="GHEA Grapalat" w:hAnsi="GHEA Grapalat"/>
          <w:i w:val="0"/>
          <w:sz w:val="24"/>
          <w:szCs w:val="24"/>
        </w:rPr>
        <w:t>10:30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C24CA7" w:rsidRPr="00C24CA7">
        <w:rPr>
          <w:rFonts w:ascii="GHEA Grapalat" w:hAnsi="GHEA Grapalat"/>
          <w:i w:val="0"/>
          <w:sz w:val="24"/>
          <w:szCs w:val="24"/>
        </w:rPr>
        <w:t>21</w:t>
      </w:r>
      <w:proofErr w:type="gramEnd"/>
      <w:r w:rsidR="004546FB" w:rsidRPr="004546FB">
        <w:rPr>
          <w:rFonts w:ascii="GHEA Grapalat" w:hAnsi="GHEA Grapalat"/>
          <w:i w:val="0"/>
          <w:sz w:val="24"/>
          <w:szCs w:val="24"/>
        </w:rPr>
        <w:t xml:space="preserve"> апрел</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r w:rsidR="004546FB">
        <w:rPr>
          <w:rFonts w:ascii="GHEA Grapalat" w:hAnsi="GHEA Grapalat"/>
          <w:i w:val="0"/>
          <w:sz w:val="22"/>
          <w:szCs w:val="24"/>
        </w:rPr>
        <w:t>Озеленение и благоустройство Аштарака</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4546FB">
        <w:rPr>
          <w:rFonts w:ascii="GHEA Grapalat" w:hAnsi="GHEA Grapalat"/>
          <w:i/>
        </w:rPr>
        <w:t>AMAKB-GHAPDzB-</w:t>
      </w:r>
      <w:r w:rsidR="00DD7A0A">
        <w:rPr>
          <w:rFonts w:ascii="GHEA Grapalat" w:hAnsi="GHEA Grapalat"/>
          <w:i/>
        </w:rPr>
        <w:t>26/7</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4546FB" w:rsidRPr="004546FB">
        <w:rPr>
          <w:rFonts w:ascii="GHEA Grapalat" w:hAnsi="GHEA Grapalat"/>
        </w:rPr>
        <w:t>1</w:t>
      </w:r>
      <w:r w:rsidR="00C24CA7" w:rsidRPr="00C24CA7">
        <w:rPr>
          <w:rFonts w:ascii="GHEA Grapalat" w:hAnsi="GHEA Grapalat"/>
        </w:rPr>
        <w:t>4</w:t>
      </w:r>
      <w:r w:rsidR="00FD7698" w:rsidRPr="00014928">
        <w:rPr>
          <w:rFonts w:ascii="GHEA Grapalat" w:hAnsi="GHEA Grapalat"/>
        </w:rPr>
        <w:t xml:space="preserve">-го </w:t>
      </w:r>
      <w:r w:rsidR="004546FB" w:rsidRPr="004546FB">
        <w:rPr>
          <w:rFonts w:ascii="GHEA Grapalat" w:hAnsi="GHEA Grapalat"/>
        </w:rPr>
        <w:t>апрел</w:t>
      </w:r>
      <w:r w:rsidR="00E74578" w:rsidRPr="00E74578">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r w:rsidR="004546FB">
        <w:rPr>
          <w:rFonts w:ascii="GHEA Grapalat" w:hAnsi="GHEA Grapalat"/>
        </w:rPr>
        <w:t>Озеленение и благоустройство Аштарака</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D7A0A">
        <w:rPr>
          <w:rFonts w:ascii="GHEA Grapalat" w:hAnsi="GHEA Grapalat"/>
        </w:rPr>
        <w:t>ШИНЫ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DD7A0A" w:rsidP="00014928">
      <w:pPr>
        <w:widowControl w:val="0"/>
        <w:jc w:val="center"/>
        <w:rPr>
          <w:rFonts w:ascii="GHEA Grapalat" w:hAnsi="GHEA Grapalat"/>
          <w:b/>
        </w:rPr>
      </w:pPr>
      <w:proofErr w:type="gramStart"/>
      <w:r>
        <w:rPr>
          <w:rFonts w:ascii="GHEA Grapalat" w:hAnsi="GHEA Grapalat"/>
          <w:b/>
        </w:rPr>
        <w:t>ШИНЫ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4546FB">
        <w:rPr>
          <w:rFonts w:ascii="GHEA Grapalat" w:hAnsi="GHEA Grapalat"/>
          <w:b/>
        </w:rPr>
        <w:t>ОЗЕЛЕНЕНИЕ И БЛАГОУСТРОЙСТВО АШТАРАКА</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546FB">
        <w:rPr>
          <w:rFonts w:ascii="GHEA Grapalat" w:hAnsi="GHEA Grapalat"/>
          <w:spacing w:val="-6"/>
        </w:rPr>
        <w:t>AMAKB-GHAPDzB-</w:t>
      </w:r>
      <w:r w:rsidR="00DD7A0A">
        <w:rPr>
          <w:rFonts w:ascii="GHEA Grapalat" w:hAnsi="GHEA Grapalat"/>
          <w:spacing w:val="-6"/>
        </w:rPr>
        <w:t>26/7</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r w:rsidR="004546FB">
        <w:rPr>
          <w:rFonts w:ascii="GHEA Grapalat" w:hAnsi="GHEA Grapalat"/>
          <w:sz w:val="22"/>
        </w:rPr>
        <w:t>Озеленение и благоустройство Аштарака</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D7A0A">
        <w:rPr>
          <w:rFonts w:ascii="GHEA Grapalat" w:hAnsi="GHEA Grapalat" w:hint="eastAsia"/>
        </w:rPr>
        <w:t>Шины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8B29E1">
        <w:rPr>
          <w:rFonts w:ascii="GHEA Grapalat" w:hAnsi="GHEA Grapalat"/>
        </w:rPr>
        <w:t>1</w:t>
      </w:r>
      <w:proofErr w:type="gramEnd"/>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C24CA7" w:rsidRPr="009044F1" w:rsidTr="004630DF">
        <w:trPr>
          <w:jc w:val="center"/>
        </w:trPr>
        <w:tc>
          <w:tcPr>
            <w:tcW w:w="1530" w:type="dxa"/>
            <w:shd w:val="clear" w:color="auto" w:fill="auto"/>
            <w:vAlign w:val="center"/>
          </w:tcPr>
          <w:p w:rsidR="00C24CA7" w:rsidRPr="00A71D81" w:rsidRDefault="00C24CA7" w:rsidP="00C24CA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05" w:type="dxa"/>
            <w:shd w:val="clear" w:color="auto" w:fill="auto"/>
            <w:vAlign w:val="center"/>
          </w:tcPr>
          <w:p w:rsidR="00C24CA7" w:rsidRPr="00F214AA" w:rsidRDefault="00DD7A0A" w:rsidP="00C24CA7">
            <w:pPr>
              <w:pStyle w:val="23"/>
              <w:spacing w:line="240" w:lineRule="auto"/>
              <w:ind w:firstLine="0"/>
              <w:jc w:val="center"/>
              <w:rPr>
                <w:rFonts w:ascii="GHEA Grapalat" w:hAnsi="GHEA Grapalat"/>
                <w:b/>
                <w:sz w:val="16"/>
              </w:rPr>
            </w:pPr>
            <w:r>
              <w:rPr>
                <w:rFonts w:ascii="GHEA Grapalat" w:hAnsi="GHEA Grapalat" w:cs="Arial"/>
                <w:sz w:val="18"/>
                <w:lang w:val="en-US"/>
              </w:rPr>
              <w:t>84</w:t>
            </w:r>
            <w:r w:rsidR="00C24CA7" w:rsidRPr="0024233E">
              <w:rPr>
                <w:rFonts w:ascii="GHEA Grapalat" w:hAnsi="GHEA Grapalat" w:cs="Arial"/>
                <w:sz w:val="18"/>
              </w:rPr>
              <w:t>0</w:t>
            </w:r>
            <w:r w:rsidR="00C24CA7">
              <w:rPr>
                <w:rFonts w:ascii="GHEA Grapalat" w:hAnsi="GHEA Grapalat" w:cs="Arial"/>
                <w:sz w:val="18"/>
              </w:rPr>
              <w:t>0</w:t>
            </w:r>
            <w:r w:rsidR="00C24CA7" w:rsidRPr="0024233E">
              <w:rPr>
                <w:rFonts w:ascii="GHEA Grapalat" w:hAnsi="GHEA Grapalat" w:cs="Arial"/>
                <w:sz w:val="18"/>
              </w:rPr>
              <w:t>00</w:t>
            </w:r>
          </w:p>
        </w:tc>
        <w:tc>
          <w:tcPr>
            <w:tcW w:w="5899" w:type="dxa"/>
            <w:shd w:val="clear" w:color="auto" w:fill="auto"/>
          </w:tcPr>
          <w:p w:rsidR="00C24CA7" w:rsidRPr="00DD7A0A" w:rsidRDefault="00DD7A0A" w:rsidP="00C24CA7">
            <w:pPr>
              <w:rPr>
                <w:rFonts w:ascii="GHEA Grapalat" w:hAnsi="GHEA Grapalat" w:cs="Arial"/>
                <w:sz w:val="22"/>
                <w:szCs w:val="20"/>
                <w:lang w:val="en-US"/>
              </w:rPr>
            </w:pPr>
            <w:proofErr w:type="spellStart"/>
            <w:r>
              <w:rPr>
                <w:lang w:val="en-US"/>
              </w:rPr>
              <w:t>Шина</w:t>
            </w:r>
            <w:proofErr w:type="spellEnd"/>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w:t>
      </w:r>
      <w:r w:rsidRPr="006622A4">
        <w:rPr>
          <w:rFonts w:ascii="GHEA Grapalat" w:hAnsi="GHEA Grapalat"/>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w:t>
      </w:r>
      <w:r w:rsidRPr="009044F1">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 xml:space="preserve">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DD7A0A">
        <w:rPr>
          <w:rFonts w:ascii="GHEA Grapalat" w:hAnsi="GHEA Grapalat"/>
          <w:sz w:val="24"/>
          <w:szCs w:val="24"/>
        </w:rPr>
        <w:t>10:30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 xml:space="preserve">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DD7A0A">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w:t>
      </w:r>
      <w:r w:rsidRPr="009044F1">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2F249D">
        <w:rPr>
          <w:rFonts w:ascii="GHEA Grapalat" w:hAnsi="GHEA Grapalat"/>
          <w:sz w:val="24"/>
          <w:szCs w:val="24"/>
        </w:rPr>
        <w:lastRenderedPageBreak/>
        <w:t>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w:t>
      </w:r>
      <w:r w:rsidR="001E4A24" w:rsidRPr="001E4A24">
        <w:rPr>
          <w:rFonts w:ascii="GHEA Grapalat" w:hAnsi="GHEA Grapalat"/>
          <w:sz w:val="24"/>
          <w:szCs w:val="24"/>
        </w:rPr>
        <w:lastRenderedPageBreak/>
        <w:t xml:space="preserve">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w:t>
      </w:r>
      <w:r w:rsidR="00C20AD3" w:rsidRPr="00637CD2">
        <w:rPr>
          <w:rFonts w:ascii="GHEA Grapalat" w:hAnsi="GHEA Grapalat" w:cs="Sylfaen"/>
        </w:rPr>
        <w:lastRenderedPageBreak/>
        <w:t>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w:t>
      </w:r>
      <w:r w:rsidRPr="009044F1">
        <w:rPr>
          <w:rFonts w:ascii="GHEA Grapalat" w:hAnsi="GHEA Grapalat"/>
          <w:spacing w:val="-6"/>
          <w:sz w:val="24"/>
          <w:szCs w:val="24"/>
        </w:rPr>
        <w:lastRenderedPageBreak/>
        <w:t>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546FB">
        <w:rPr>
          <w:rFonts w:ascii="GHEA Grapalat" w:hAnsi="GHEA Grapalat"/>
          <w:b/>
          <w:sz w:val="24"/>
          <w:szCs w:val="24"/>
        </w:rPr>
        <w:t>AMAKB-GHAPDzB-</w:t>
      </w:r>
      <w:r w:rsidR="00DD7A0A">
        <w:rPr>
          <w:rFonts w:ascii="GHEA Grapalat" w:hAnsi="GHEA Grapalat"/>
          <w:b/>
          <w:sz w:val="24"/>
          <w:szCs w:val="24"/>
        </w:rPr>
        <w:t>26/7</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546FB">
        <w:rPr>
          <w:rFonts w:ascii="GHEA Grapalat" w:hAnsi="GHEA Grapalat"/>
        </w:rPr>
        <w:t>AMAKB-GHAPDzB-</w:t>
      </w:r>
      <w:r w:rsidR="00DD7A0A">
        <w:rPr>
          <w:rFonts w:ascii="GHEA Grapalat" w:hAnsi="GHEA Grapalat"/>
        </w:rPr>
        <w:t>26/7</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546FB">
        <w:rPr>
          <w:rFonts w:ascii="GHEA Grapalat" w:hAnsi="GHEA Grapalat"/>
        </w:rPr>
        <w:t>AMAKB-GHAPDzB-</w:t>
      </w:r>
      <w:r w:rsidR="00DD7A0A">
        <w:rPr>
          <w:rFonts w:ascii="GHEA Grapalat" w:hAnsi="GHEA Grapalat"/>
        </w:rPr>
        <w:t>26/7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4546FB">
        <w:rPr>
          <w:rFonts w:ascii="GHEA Grapalat" w:hAnsi="GHEA Grapalat"/>
        </w:rPr>
        <w:t>AMAKB-GHAPDzB-</w:t>
      </w:r>
      <w:r w:rsidR="00DD7A0A">
        <w:rPr>
          <w:rFonts w:ascii="GHEA Grapalat" w:hAnsi="GHEA Grapalat"/>
        </w:rPr>
        <w:t>26/7</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DD7A0A">
        <w:rPr>
          <w:rFonts w:ascii="GHEA Grapalat" w:hAnsi="GHEA Grapalat"/>
          <w:b/>
          <w:sz w:val="24"/>
          <w:szCs w:val="24"/>
        </w:rPr>
        <w:t>26/7</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4546FB">
        <w:rPr>
          <w:rFonts w:ascii="GHEA Grapalat" w:hAnsi="GHEA Grapalat"/>
        </w:rPr>
        <w:t>AMAKB-GHAPDzB-</w:t>
      </w:r>
      <w:r w:rsidR="00DD7A0A">
        <w:rPr>
          <w:rFonts w:ascii="GHEA Grapalat" w:hAnsi="GHEA Grapalat"/>
        </w:rPr>
        <w:t>26/7</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DD7A0A">
        <w:rPr>
          <w:rFonts w:ascii="GHEA Grapalat" w:hAnsi="GHEA Grapalat"/>
          <w:b/>
          <w:sz w:val="24"/>
          <w:szCs w:val="24"/>
        </w:rPr>
        <w:t>26/7</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074B3"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E074B3"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074B3"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E074B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E074B3"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546FB">
        <w:rPr>
          <w:rFonts w:ascii="GHEA Grapalat" w:hAnsi="GHEA Grapalat"/>
          <w:b/>
          <w:sz w:val="24"/>
          <w:szCs w:val="24"/>
        </w:rPr>
        <w:t>AMAKB-GHAPDzB-</w:t>
      </w:r>
      <w:r w:rsidR="00DD7A0A">
        <w:rPr>
          <w:rFonts w:ascii="GHEA Grapalat" w:hAnsi="GHEA Grapalat"/>
          <w:b/>
          <w:sz w:val="24"/>
          <w:szCs w:val="24"/>
        </w:rPr>
        <w:t>26/7</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546FB">
        <w:rPr>
          <w:rFonts w:ascii="GHEA Grapalat" w:hAnsi="GHEA Grapalat"/>
          <w:spacing w:val="-6"/>
        </w:rPr>
        <w:t>AMAKB-GHAPDzB-</w:t>
      </w:r>
      <w:r w:rsidR="00DD7A0A">
        <w:rPr>
          <w:rFonts w:ascii="GHEA Grapalat" w:hAnsi="GHEA Grapalat"/>
          <w:spacing w:val="-6"/>
        </w:rPr>
        <w:t>26/7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546FB">
        <w:rPr>
          <w:rFonts w:ascii="GHEA Grapalat" w:hAnsi="GHEA Grapalat"/>
          <w:i/>
          <w:sz w:val="22"/>
          <w:szCs w:val="22"/>
        </w:rPr>
        <w:t>AMAKB-GHAPDzB-</w:t>
      </w:r>
      <w:r w:rsidR="00DD7A0A">
        <w:rPr>
          <w:rFonts w:ascii="GHEA Grapalat" w:hAnsi="GHEA Grapalat"/>
          <w:i/>
          <w:sz w:val="22"/>
          <w:szCs w:val="22"/>
        </w:rPr>
        <w:t>26/7</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4546FB">
        <w:rPr>
          <w:rFonts w:ascii="GHEA Grapalat" w:hAnsi="GHEA Grapalat"/>
          <w:i/>
        </w:rPr>
        <w:t>AMAKB-GHAPDzB-</w:t>
      </w:r>
      <w:r w:rsidR="00DD7A0A">
        <w:rPr>
          <w:rFonts w:ascii="GHEA Grapalat" w:hAnsi="GHEA Grapalat"/>
          <w:i/>
        </w:rPr>
        <w:t>26/7</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546FB">
        <w:rPr>
          <w:rFonts w:ascii="GHEA Grapalat" w:hAnsi="GHEA Grapalat"/>
          <w:b/>
          <w:sz w:val="24"/>
          <w:szCs w:val="24"/>
        </w:rPr>
        <w:t>AMAKB-GHAPDzB-</w:t>
      </w:r>
      <w:r w:rsidR="00DD7A0A">
        <w:rPr>
          <w:rFonts w:ascii="GHEA Grapalat" w:hAnsi="GHEA Grapalat"/>
          <w:b/>
          <w:sz w:val="24"/>
          <w:szCs w:val="24"/>
        </w:rPr>
        <w:t>26/7</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0E4921">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0E4921">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DD7A0A" w:rsidRPr="00B138F3" w:rsidTr="008B29E1">
        <w:trPr>
          <w:trHeight w:val="493"/>
        </w:trPr>
        <w:tc>
          <w:tcPr>
            <w:tcW w:w="814" w:type="dxa"/>
            <w:vAlign w:val="center"/>
          </w:tcPr>
          <w:p w:rsidR="00DD7A0A" w:rsidRPr="00A71D81" w:rsidRDefault="00DD7A0A" w:rsidP="00DD7A0A">
            <w:pPr>
              <w:jc w:val="center"/>
              <w:rPr>
                <w:rFonts w:ascii="GHEA Grapalat" w:hAnsi="GHEA Grapalat"/>
                <w:sz w:val="20"/>
                <w:lang w:val="es-ES"/>
              </w:rPr>
            </w:pPr>
            <w:r w:rsidRPr="00F65B88">
              <w:rPr>
                <w:rFonts w:ascii="GHEA Grapalat" w:hAnsi="GHEA Grapalat"/>
              </w:rPr>
              <w:t>1</w:t>
            </w:r>
          </w:p>
        </w:tc>
        <w:tc>
          <w:tcPr>
            <w:tcW w:w="1260" w:type="dxa"/>
            <w:vAlign w:val="center"/>
          </w:tcPr>
          <w:p w:rsidR="00DD7A0A" w:rsidRPr="00A71D81" w:rsidRDefault="00DD7A0A" w:rsidP="00DD7A0A">
            <w:pPr>
              <w:jc w:val="center"/>
              <w:rPr>
                <w:rFonts w:ascii="GHEA Grapalat" w:hAnsi="GHEA Grapalat"/>
                <w:sz w:val="20"/>
                <w:lang w:val="es-ES"/>
              </w:rPr>
            </w:pPr>
            <w:r>
              <w:rPr>
                <w:rFonts w:ascii="GHEA Grapalat" w:hAnsi="GHEA Grapalat" w:cs="Arial"/>
                <w:sz w:val="20"/>
                <w:szCs w:val="20"/>
              </w:rPr>
              <w:t>34631140</w:t>
            </w:r>
          </w:p>
        </w:tc>
        <w:tc>
          <w:tcPr>
            <w:tcW w:w="1340" w:type="dxa"/>
            <w:vAlign w:val="center"/>
          </w:tcPr>
          <w:p w:rsidR="00DD7A0A" w:rsidRPr="00DD7A0A" w:rsidRDefault="00DD7A0A" w:rsidP="00DD7A0A">
            <w:pPr>
              <w:rPr>
                <w:sz w:val="22"/>
                <w:lang w:val="en-US"/>
              </w:rPr>
            </w:pPr>
            <w:proofErr w:type="spellStart"/>
            <w:r>
              <w:rPr>
                <w:sz w:val="22"/>
                <w:lang w:val="en-US"/>
              </w:rPr>
              <w:t>Шина</w:t>
            </w:r>
            <w:proofErr w:type="spellEnd"/>
          </w:p>
        </w:tc>
        <w:tc>
          <w:tcPr>
            <w:tcW w:w="5586" w:type="dxa"/>
            <w:shd w:val="clear" w:color="auto" w:fill="auto"/>
          </w:tcPr>
          <w:p w:rsidR="00DD7A0A" w:rsidRPr="003671B8" w:rsidRDefault="00DD7A0A" w:rsidP="00DD7A0A">
            <w:pPr>
              <w:rPr>
                <w:rFonts w:ascii="GHEA Grapalat" w:hAnsi="GHEA Grapalat"/>
                <w:sz w:val="20"/>
                <w:szCs w:val="20"/>
              </w:rPr>
            </w:pPr>
            <w:r w:rsidRPr="003671B8">
              <w:rPr>
                <w:rFonts w:ascii="GHEA Grapalat" w:hAnsi="GHEA Grapalat"/>
                <w:sz w:val="20"/>
                <w:szCs w:val="20"/>
              </w:rPr>
              <w:t>Шина 12-16.5, протектор по меньшей мере 10ПР индекс нагрузки 124 до 141 (1600кг до 2575 кг), максимальная скорость: A2 (10 км/ч), ширина 12 дюймов, диаметр колес 16,5 дюймов. Монтаж шины на колесо, балансировку осуществляет поставщик</w:t>
            </w:r>
          </w:p>
        </w:tc>
        <w:tc>
          <w:tcPr>
            <w:tcW w:w="990" w:type="dxa"/>
            <w:shd w:val="clear" w:color="auto" w:fill="auto"/>
            <w:vAlign w:val="center"/>
          </w:tcPr>
          <w:p w:rsidR="00DD7A0A" w:rsidRPr="00CA0282" w:rsidRDefault="00DD7A0A" w:rsidP="00DD7A0A">
            <w:pPr>
              <w:jc w:val="center"/>
              <w:rPr>
                <w:rFonts w:ascii="GHEA Grapalat" w:hAnsi="GHEA Grapalat"/>
                <w:sz w:val="20"/>
                <w:lang w:val="en-US"/>
              </w:rPr>
            </w:pPr>
            <w:proofErr w:type="spellStart"/>
            <w:r>
              <w:rPr>
                <w:rFonts w:ascii="Sylfaen" w:hAnsi="Sylfaen" w:cs="Sylfaen"/>
                <w:sz w:val="20"/>
                <w:szCs w:val="20"/>
                <w:lang w:val="en-US"/>
              </w:rPr>
              <w:t>шт</w:t>
            </w:r>
            <w:proofErr w:type="spellEnd"/>
          </w:p>
        </w:tc>
        <w:tc>
          <w:tcPr>
            <w:tcW w:w="985" w:type="dxa"/>
            <w:shd w:val="clear" w:color="auto" w:fill="auto"/>
            <w:vAlign w:val="center"/>
          </w:tcPr>
          <w:p w:rsidR="00DD7A0A" w:rsidRPr="0024233E" w:rsidRDefault="00DD7A0A" w:rsidP="00DD7A0A">
            <w:pPr>
              <w:jc w:val="center"/>
              <w:rPr>
                <w:rFonts w:ascii="GHEA Grapalat" w:hAnsi="GHEA Grapalat" w:cs="Arial"/>
                <w:sz w:val="18"/>
                <w:szCs w:val="20"/>
              </w:rPr>
            </w:pPr>
            <w:r>
              <w:rPr>
                <w:rFonts w:ascii="GHEA Grapalat" w:hAnsi="GHEA Grapalat" w:cs="Arial"/>
                <w:sz w:val="18"/>
                <w:szCs w:val="20"/>
                <w:lang w:val="en-US"/>
              </w:rPr>
              <w:t>7000</w:t>
            </w:r>
            <w:r w:rsidRPr="0024233E">
              <w:rPr>
                <w:rFonts w:ascii="GHEA Grapalat" w:hAnsi="GHEA Grapalat" w:cs="Arial"/>
                <w:sz w:val="18"/>
                <w:szCs w:val="20"/>
              </w:rPr>
              <w:t>0</w:t>
            </w:r>
          </w:p>
        </w:tc>
        <w:tc>
          <w:tcPr>
            <w:tcW w:w="1227" w:type="dxa"/>
            <w:shd w:val="clear" w:color="auto" w:fill="auto"/>
            <w:vAlign w:val="center"/>
          </w:tcPr>
          <w:p w:rsidR="00DD7A0A" w:rsidRPr="0024233E" w:rsidRDefault="00DD7A0A" w:rsidP="00DD7A0A">
            <w:pPr>
              <w:ind w:left="-66" w:right="-60"/>
              <w:jc w:val="center"/>
              <w:rPr>
                <w:rFonts w:ascii="GHEA Grapalat" w:hAnsi="GHEA Grapalat" w:cs="Arial"/>
                <w:sz w:val="18"/>
                <w:szCs w:val="20"/>
              </w:rPr>
            </w:pPr>
            <w:r>
              <w:rPr>
                <w:rFonts w:ascii="GHEA Grapalat" w:hAnsi="GHEA Grapalat" w:cs="Arial"/>
                <w:sz w:val="18"/>
                <w:szCs w:val="20"/>
                <w:lang w:val="en-US"/>
              </w:rPr>
              <w:t>8400</w:t>
            </w:r>
            <w:r w:rsidRPr="0024233E">
              <w:rPr>
                <w:rFonts w:ascii="GHEA Grapalat" w:hAnsi="GHEA Grapalat" w:cs="Arial"/>
                <w:sz w:val="18"/>
                <w:szCs w:val="20"/>
              </w:rPr>
              <w:t>00</w:t>
            </w:r>
          </w:p>
        </w:tc>
        <w:tc>
          <w:tcPr>
            <w:tcW w:w="851" w:type="dxa"/>
            <w:shd w:val="clear" w:color="auto" w:fill="auto"/>
            <w:vAlign w:val="center"/>
          </w:tcPr>
          <w:p w:rsidR="00DD7A0A" w:rsidRPr="0024233E" w:rsidRDefault="00DD7A0A" w:rsidP="00DD7A0A">
            <w:pPr>
              <w:ind w:left="-71" w:right="-78"/>
              <w:jc w:val="center"/>
              <w:rPr>
                <w:rFonts w:ascii="GHEA Grapalat" w:hAnsi="GHEA Grapalat" w:cs="Arial"/>
                <w:sz w:val="18"/>
                <w:szCs w:val="20"/>
              </w:rPr>
            </w:pPr>
            <w:r>
              <w:rPr>
                <w:rFonts w:ascii="GHEA Grapalat" w:hAnsi="GHEA Grapalat" w:cs="Arial"/>
                <w:sz w:val="18"/>
                <w:szCs w:val="20"/>
                <w:lang w:val="en-US"/>
              </w:rPr>
              <w:t>12</w:t>
            </w:r>
          </w:p>
        </w:tc>
        <w:tc>
          <w:tcPr>
            <w:tcW w:w="992" w:type="dxa"/>
            <w:shd w:val="clear" w:color="auto" w:fill="auto"/>
            <w:textDirection w:val="btLr"/>
          </w:tcPr>
          <w:p w:rsidR="00DD7A0A" w:rsidRPr="00014928" w:rsidRDefault="00DD7A0A" w:rsidP="00DD7A0A">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DD7A0A" w:rsidRPr="00014928" w:rsidRDefault="00DD7A0A" w:rsidP="00DD7A0A">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DD7A0A" w:rsidRPr="00014928" w:rsidRDefault="00DD7A0A" w:rsidP="00DD7A0A">
            <w:pPr>
              <w:widowControl w:val="0"/>
              <w:ind w:left="113" w:right="113"/>
              <w:jc w:val="center"/>
              <w:rPr>
                <w:rFonts w:ascii="GHEA Grapalat" w:hAnsi="GHEA Grapalat"/>
                <w:sz w:val="16"/>
                <w:szCs w:val="16"/>
                <w:lang w:val="en-US"/>
              </w:rPr>
            </w:pPr>
            <w:proofErr w:type="spellStart"/>
            <w:r w:rsidRPr="00F81DF2">
              <w:rPr>
                <w:rFonts w:ascii="GHEA Grapalat" w:hAnsi="GHEA Grapalat"/>
                <w:sz w:val="16"/>
                <w:szCs w:val="16"/>
                <w:lang w:val="en-US"/>
              </w:rPr>
              <w:t>Договор</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действителен</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до</w:t>
            </w:r>
            <w:proofErr w:type="spellEnd"/>
            <w:r w:rsidRPr="00F81DF2">
              <w:rPr>
                <w:rFonts w:ascii="GHEA Grapalat" w:hAnsi="GHEA Grapalat"/>
                <w:sz w:val="16"/>
                <w:szCs w:val="16"/>
                <w:lang w:val="en-US"/>
              </w:rPr>
              <w:t xml:space="preserve"> 25.12.2026.</w:t>
            </w:r>
            <w:r>
              <w:rPr>
                <w:rFonts w:ascii="GHEA Grapalat" w:hAnsi="GHEA Grapalat"/>
                <w:sz w:val="16"/>
                <w:szCs w:val="16"/>
                <w:lang w:val="en-US"/>
              </w:rPr>
              <w:t>г</w:t>
            </w:r>
          </w:p>
        </w:tc>
      </w:tr>
    </w:tbl>
    <w:p w:rsidR="00DD7A0A" w:rsidRDefault="00DD7A0A" w:rsidP="00DD7A0A">
      <w:r>
        <w:t>Шины должны быть новыми, неповрежденными и неиспользованными.</w:t>
      </w:r>
    </w:p>
    <w:p w:rsidR="004630DF" w:rsidRDefault="00DD7A0A" w:rsidP="00DD7A0A">
      <w:r>
        <w:t>Транспортные, погрузочно-разгрузочные и другие расходы на шины несет поставщик*.</w:t>
      </w: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D7A0A" w:rsidRPr="00B138F3" w:rsidTr="00253E3A">
        <w:trPr>
          <w:trHeight w:val="404"/>
          <w:jc w:val="center"/>
        </w:trPr>
        <w:tc>
          <w:tcPr>
            <w:tcW w:w="1594" w:type="dxa"/>
            <w:vAlign w:val="center"/>
          </w:tcPr>
          <w:p w:rsidR="00DD7A0A" w:rsidRPr="00A71D81" w:rsidRDefault="00DD7A0A" w:rsidP="00DD7A0A">
            <w:pPr>
              <w:jc w:val="center"/>
              <w:rPr>
                <w:rFonts w:ascii="GHEA Grapalat" w:hAnsi="GHEA Grapalat"/>
                <w:sz w:val="20"/>
                <w:lang w:val="es-ES"/>
              </w:rPr>
            </w:pPr>
            <w:bookmarkStart w:id="0" w:name="_GoBack" w:colFirst="0" w:colLast="0"/>
            <w:r w:rsidRPr="00F65B88">
              <w:rPr>
                <w:rFonts w:ascii="GHEA Grapalat" w:hAnsi="GHEA Grapalat"/>
              </w:rPr>
              <w:t>1</w:t>
            </w:r>
          </w:p>
        </w:tc>
        <w:tc>
          <w:tcPr>
            <w:tcW w:w="1689" w:type="dxa"/>
            <w:vAlign w:val="center"/>
          </w:tcPr>
          <w:p w:rsidR="00DD7A0A" w:rsidRPr="00A71D81" w:rsidRDefault="00DD7A0A" w:rsidP="00DD7A0A">
            <w:pPr>
              <w:jc w:val="center"/>
              <w:rPr>
                <w:rFonts w:ascii="GHEA Grapalat" w:hAnsi="GHEA Grapalat"/>
                <w:sz w:val="20"/>
                <w:lang w:val="es-ES"/>
              </w:rPr>
            </w:pPr>
            <w:r>
              <w:rPr>
                <w:rFonts w:ascii="GHEA Grapalat" w:hAnsi="GHEA Grapalat" w:cs="Arial"/>
                <w:sz w:val="20"/>
                <w:szCs w:val="20"/>
              </w:rPr>
              <w:t>34631140</w:t>
            </w:r>
          </w:p>
        </w:tc>
        <w:tc>
          <w:tcPr>
            <w:tcW w:w="1906" w:type="dxa"/>
            <w:vAlign w:val="center"/>
          </w:tcPr>
          <w:p w:rsidR="00DD7A0A" w:rsidRPr="00DD7A0A" w:rsidRDefault="00DD7A0A" w:rsidP="00DD7A0A">
            <w:pPr>
              <w:rPr>
                <w:sz w:val="22"/>
                <w:lang w:val="en-US"/>
              </w:rPr>
            </w:pPr>
            <w:proofErr w:type="spellStart"/>
            <w:r>
              <w:rPr>
                <w:sz w:val="22"/>
                <w:lang w:val="en-US"/>
              </w:rPr>
              <w:t>Шина</w:t>
            </w:r>
            <w:proofErr w:type="spellEnd"/>
          </w:p>
        </w:tc>
        <w:tc>
          <w:tcPr>
            <w:tcW w:w="725" w:type="dxa"/>
            <w:vAlign w:val="center"/>
          </w:tcPr>
          <w:p w:rsidR="00DD7A0A" w:rsidRPr="00A71D81" w:rsidRDefault="00DD7A0A" w:rsidP="00DD7A0A">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DD7A0A" w:rsidRPr="00A71D81" w:rsidRDefault="00DD7A0A" w:rsidP="00DD7A0A">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DD7A0A" w:rsidRPr="00A71D81" w:rsidRDefault="00DD7A0A" w:rsidP="00DD7A0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DD7A0A" w:rsidRPr="00A71D81" w:rsidRDefault="00DD7A0A" w:rsidP="00DD7A0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0"/>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4B3" w:rsidRDefault="00E074B3">
      <w:r>
        <w:separator/>
      </w:r>
    </w:p>
  </w:endnote>
  <w:endnote w:type="continuationSeparator" w:id="0">
    <w:p w:rsidR="00E074B3" w:rsidRDefault="00E0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4A3A2B" w:rsidRPr="00C861E9" w:rsidRDefault="004A3A2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D7A0A">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4B3" w:rsidRDefault="00E074B3">
      <w:r>
        <w:separator/>
      </w:r>
    </w:p>
  </w:footnote>
  <w:footnote w:type="continuationSeparator" w:id="0">
    <w:p w:rsidR="00E074B3" w:rsidRDefault="00E074B3">
      <w:r>
        <w:continuationSeparator/>
      </w:r>
    </w:p>
  </w:footnote>
  <w:footnote w:id="1">
    <w:p w:rsidR="004A3A2B" w:rsidRPr="008E4439" w:rsidRDefault="004A3A2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A3A2B" w:rsidRPr="000811C1" w:rsidRDefault="004A3A2B" w:rsidP="0027573B">
      <w:pPr>
        <w:pStyle w:val="af2"/>
        <w:rPr>
          <w:rFonts w:ascii="Sylfaen" w:hAnsi="Sylfaen"/>
          <w:sz w:val="18"/>
          <w:szCs w:val="18"/>
        </w:rPr>
      </w:pPr>
    </w:p>
  </w:footnote>
  <w:footnote w:id="2">
    <w:p w:rsidR="004A3A2B" w:rsidRPr="00A31673" w:rsidRDefault="004A3A2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A3A2B" w:rsidRPr="008416BA" w:rsidRDefault="004A3A2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A3A2B" w:rsidRDefault="004A3A2B" w:rsidP="006B3E56">
      <w:pPr>
        <w:jc w:val="both"/>
      </w:pP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A3A2B" w:rsidRDefault="004A3A2B" w:rsidP="00637230">
      <w:pPr>
        <w:jc w:val="both"/>
        <w:rPr>
          <w:rFonts w:asciiTheme="minorHAnsi" w:hAnsiTheme="minorHAnsi"/>
          <w:lang w:val="af-ZA"/>
        </w:rPr>
      </w:pPr>
    </w:p>
  </w:footnote>
  <w:footnote w:id="4">
    <w:p w:rsidR="004A3A2B" w:rsidRPr="00A25D1B" w:rsidRDefault="004A3A2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4A3A2B" w:rsidRPr="00DC619D" w:rsidRDefault="004A3A2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4A3A2B" w:rsidRPr="00D3436F" w:rsidRDefault="004A3A2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A3A2B" w:rsidRPr="00D3436F" w:rsidRDefault="004A3A2B">
      <w:pPr>
        <w:pStyle w:val="af2"/>
        <w:rPr>
          <w:lang w:val="es-ES"/>
        </w:rPr>
      </w:pPr>
    </w:p>
  </w:footnote>
  <w:footnote w:id="7">
    <w:p w:rsidR="004A3A2B" w:rsidRPr="008842CE" w:rsidRDefault="004A3A2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A3A2B" w:rsidRPr="008842CE" w:rsidRDefault="004A3A2B" w:rsidP="003D2FE2">
      <w:pPr>
        <w:pStyle w:val="af2"/>
        <w:jc w:val="both"/>
        <w:rPr>
          <w:rFonts w:ascii="GHEA Grapalat" w:hAnsi="GHEA Grapalat"/>
        </w:rPr>
      </w:pPr>
    </w:p>
  </w:footnote>
  <w:footnote w:id="8">
    <w:p w:rsidR="004A3A2B" w:rsidRDefault="004A3A2B"/>
    <w:p w:rsidR="004A3A2B" w:rsidRPr="008842CE" w:rsidRDefault="004A3A2B" w:rsidP="003D2FE2">
      <w:pPr>
        <w:pStyle w:val="af2"/>
        <w:jc w:val="both"/>
      </w:pPr>
    </w:p>
  </w:footnote>
  <w:footnote w:id="9">
    <w:p w:rsidR="004A3A2B" w:rsidRPr="008842CE" w:rsidRDefault="004A3A2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A3A2B" w:rsidRPr="008842CE" w:rsidRDefault="004A3A2B" w:rsidP="000A214C">
      <w:pPr>
        <w:pStyle w:val="af2"/>
        <w:jc w:val="both"/>
        <w:rPr>
          <w:rFonts w:ascii="GHEA Grapalat" w:hAnsi="GHEA Grapalat"/>
        </w:rPr>
      </w:pPr>
    </w:p>
  </w:footnote>
  <w:footnote w:id="10">
    <w:p w:rsidR="004A3A2B" w:rsidRDefault="004A3A2B"/>
    <w:p w:rsidR="004A3A2B" w:rsidRPr="008842CE" w:rsidRDefault="004A3A2B" w:rsidP="000A214C">
      <w:pPr>
        <w:pStyle w:val="af2"/>
        <w:jc w:val="both"/>
      </w:pPr>
    </w:p>
  </w:footnote>
  <w:footnote w:id="11">
    <w:p w:rsidR="004A3A2B" w:rsidRPr="008842CE" w:rsidRDefault="004A3A2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4A3A2B" w:rsidRDefault="004A3A2B"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A3A2B" w:rsidRPr="00F21C0D" w:rsidRDefault="004A3A2B" w:rsidP="00D3436F">
      <w:pPr>
        <w:pStyle w:val="af2"/>
        <w:widowControl w:val="0"/>
        <w:jc w:val="both"/>
        <w:rPr>
          <w:lang w:val="hy-AM"/>
        </w:rPr>
      </w:pPr>
    </w:p>
  </w:footnote>
  <w:footnote w:id="13">
    <w:p w:rsidR="004A3A2B" w:rsidRPr="00402BC3" w:rsidRDefault="004A3A2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A3A2B" w:rsidRPr="00552088" w:rsidRDefault="004A3A2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A3A2B" w:rsidRPr="00D3436F" w:rsidRDefault="004A3A2B">
      <w:pPr>
        <w:pStyle w:val="af2"/>
        <w:rPr>
          <w:lang w:val="hy-AM"/>
        </w:rPr>
      </w:pPr>
    </w:p>
  </w:footnote>
  <w:footnote w:id="14">
    <w:p w:rsidR="004A3A2B" w:rsidRPr="00D3436F" w:rsidRDefault="004A3A2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4A3A2B" w:rsidRPr="008842CE" w:rsidRDefault="004A3A2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A3A2B" w:rsidRPr="00D3436F" w:rsidRDefault="004A3A2B">
      <w:pPr>
        <w:pStyle w:val="af2"/>
        <w:rPr>
          <w:lang w:val="hy-AM"/>
        </w:rPr>
      </w:pPr>
    </w:p>
  </w:footnote>
  <w:footnote w:id="16">
    <w:p w:rsidR="004A3A2B" w:rsidRPr="00D81127" w:rsidRDefault="004A3A2B"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4A3A2B" w:rsidRPr="00D81127" w:rsidRDefault="004A3A2B"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4A3A2B" w:rsidRPr="008842CE" w:rsidRDefault="004A3A2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4A3A2B" w:rsidRPr="008842CE" w:rsidRDefault="004A3A2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787"/>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1E"/>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097"/>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6FB"/>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2B"/>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062"/>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7BE"/>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9C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E1"/>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5CED"/>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CA7"/>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80C"/>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3EB"/>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A0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074B3"/>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210">
    <w:name w:val="Основной текст с отступом 2 Знак1"/>
    <w:rsid w:val="00C6280C"/>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80A7-DC3A-4DE5-A8F0-A2FC5722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71</Pages>
  <Words>19889</Words>
  <Characters>113369</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7</cp:revision>
  <cp:lastPrinted>2025-01-17T17:40:00Z</cp:lastPrinted>
  <dcterms:created xsi:type="dcterms:W3CDTF">2019-10-28T07:04:00Z</dcterms:created>
  <dcterms:modified xsi:type="dcterms:W3CDTF">2026-04-14T12:15:00Z</dcterms:modified>
</cp:coreProperties>
</file>