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04112F"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04112F"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04112F"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04112F"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04112F"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04112F"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04112F"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04112F"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04112F"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04112F"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04112F"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04112F"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04112F"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04112F"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04112F"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04112F"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04112F"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04112F"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04112F"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04112F"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04112F"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04112F"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04112F"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04112F"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04112F"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04112F"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04112F"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04112F"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04112F"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04112F"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04112F"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04112F"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04112F"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04112F"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04112F"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04112F"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04112F"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04112F"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04112F"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04112F"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04112F"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04112F"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04112F"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04112F"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04112F"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04112F"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04112F"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w:t>
            </w:r>
            <w:proofErr w:type="spellStart"/>
            <w:r w:rsidR="00F741E2" w:rsidRPr="00F741E2">
              <w:rPr>
                <w:rFonts w:ascii="GHEA Grapalat" w:hAnsi="GHEA Grapalat" w:cs="Arial"/>
                <w:lang w:val="hy-AM"/>
              </w:rPr>
              <w:t>ընթացակ</w:t>
            </w:r>
            <w:r w:rsidR="0004112F">
              <w:rPr>
                <w:rFonts w:ascii="GHEA Grapalat" w:hAnsi="GHEA Grapalat" w:cs="Arial"/>
                <w:lang w:val="hy-AM"/>
              </w:rPr>
              <w:t>արգին</w:t>
            </w:r>
            <w:proofErr w:type="spellEnd"/>
            <w:r w:rsidR="0004112F">
              <w:rPr>
                <w:rFonts w:ascii="GHEA Grapalat" w:hAnsi="GHEA Grapalat" w:cs="Arial"/>
                <w:lang w:val="hy-AM"/>
              </w:rPr>
              <w:t xml:space="preserve"> հայտ ներկայացրած մասնակի</w:t>
            </w:r>
            <w:bookmarkStart w:id="0" w:name="_GoBack"/>
            <w:bookmarkEnd w:id="0"/>
            <w:r w:rsidR="0004112F">
              <w:rPr>
                <w:rFonts w:ascii="GHEA Grapalat" w:hAnsi="GHEA Grapalat" w:cs="Arial"/>
                <w:lang w:val="hy-AM"/>
              </w:rPr>
              <w:t>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1927C7A7" w14:textId="77777777" w:rsidR="00F741E2" w:rsidRPr="00430D06"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262305D2" w14:textId="77777777" w:rsidR="00F741E2" w:rsidRDefault="00F741E2" w:rsidP="00F741E2">
            <w:pPr>
              <w:jc w:val="both"/>
              <w:rPr>
                <w:highlight w:val="yellow"/>
                <w:lang w:val="hy-AM"/>
              </w:rPr>
            </w:pPr>
          </w:p>
          <w:p w14:paraId="28A30CF3" w14:textId="77777777" w:rsidR="00F741E2" w:rsidRDefault="00F741E2" w:rsidP="00F741E2">
            <w:pPr>
              <w:jc w:val="both"/>
              <w:rPr>
                <w:highlight w:val="yellow"/>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proofErr w:type="spellStart"/>
            <w:r w:rsidR="003B323A" w:rsidRPr="003B323A">
              <w:rPr>
                <w:rFonts w:cs="Arial"/>
                <w:lang w:val="hy-AM"/>
              </w:rPr>
              <w:t>ընթացակարգին</w:t>
            </w:r>
            <w:proofErr w:type="spellEnd"/>
            <w:r w:rsidR="003B323A" w:rsidRPr="003B323A">
              <w:rPr>
                <w:rFonts w:cs="Arial"/>
                <w:lang w:val="hy-AM"/>
              </w:rPr>
              <w:t xml:space="preserve">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bl>
    <w:p w14:paraId="73222373" w14:textId="77777777" w:rsidR="00FC2EE6" w:rsidRPr="0026775C" w:rsidRDefault="00FD60CD" w:rsidP="004B5B3B">
      <w:pPr>
        <w:pStyle w:val="ListParagraph"/>
        <w:ind w:left="-709" w:firstLine="709"/>
        <w:rPr>
          <w:lang w:val="hy-AM"/>
        </w:rPr>
      </w:pPr>
      <w:r w:rsidRPr="004B5B3B">
        <w:rPr>
          <w:rFonts w:ascii="GHEA Grapalat" w:hAnsi="GHEA Grapalat"/>
          <w:lang w:val="hy-AM"/>
        </w:rPr>
        <w:lastRenderedPageBreak/>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12585"/>
    <w:rsid w:val="000316B9"/>
    <w:rsid w:val="00034270"/>
    <w:rsid w:val="0004112F"/>
    <w:rsid w:val="00061378"/>
    <w:rsid w:val="000630C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80A84"/>
    <w:rsid w:val="00387C1E"/>
    <w:rsid w:val="00392A82"/>
    <w:rsid w:val="003A5653"/>
    <w:rsid w:val="003A5B11"/>
    <w:rsid w:val="003B323A"/>
    <w:rsid w:val="003B44B1"/>
    <w:rsid w:val="003B47FD"/>
    <w:rsid w:val="003B6E5A"/>
    <w:rsid w:val="003E0C17"/>
    <w:rsid w:val="0040054A"/>
    <w:rsid w:val="004070DC"/>
    <w:rsid w:val="00420247"/>
    <w:rsid w:val="00424971"/>
    <w:rsid w:val="00430D06"/>
    <w:rsid w:val="004350BA"/>
    <w:rsid w:val="00441E54"/>
    <w:rsid w:val="00442A74"/>
    <w:rsid w:val="00462CC1"/>
    <w:rsid w:val="004737E9"/>
    <w:rsid w:val="004852C1"/>
    <w:rsid w:val="004B5B3B"/>
    <w:rsid w:val="004C38C9"/>
    <w:rsid w:val="004C4D05"/>
    <w:rsid w:val="004D3A1F"/>
    <w:rsid w:val="004D51C4"/>
    <w:rsid w:val="004E376A"/>
    <w:rsid w:val="004F4768"/>
    <w:rsid w:val="004F5976"/>
    <w:rsid w:val="0054084F"/>
    <w:rsid w:val="00542C3E"/>
    <w:rsid w:val="005521CF"/>
    <w:rsid w:val="00585504"/>
    <w:rsid w:val="005A48FD"/>
    <w:rsid w:val="005B5C36"/>
    <w:rsid w:val="005C1050"/>
    <w:rsid w:val="005C707D"/>
    <w:rsid w:val="005D224C"/>
    <w:rsid w:val="005D7099"/>
    <w:rsid w:val="005F06DE"/>
    <w:rsid w:val="005F14B4"/>
    <w:rsid w:val="00602D41"/>
    <w:rsid w:val="006239B8"/>
    <w:rsid w:val="00633D0C"/>
    <w:rsid w:val="00643ECD"/>
    <w:rsid w:val="00644DA9"/>
    <w:rsid w:val="00652EEF"/>
    <w:rsid w:val="006744D7"/>
    <w:rsid w:val="00680833"/>
    <w:rsid w:val="00684D7B"/>
    <w:rsid w:val="006914DD"/>
    <w:rsid w:val="00694382"/>
    <w:rsid w:val="00695A90"/>
    <w:rsid w:val="006968FD"/>
    <w:rsid w:val="00696A40"/>
    <w:rsid w:val="006A0DF9"/>
    <w:rsid w:val="006A5A28"/>
    <w:rsid w:val="006B4679"/>
    <w:rsid w:val="006E5685"/>
    <w:rsid w:val="00701F2F"/>
    <w:rsid w:val="00713516"/>
    <w:rsid w:val="00713B17"/>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6F32"/>
    <w:rsid w:val="00880851"/>
    <w:rsid w:val="0088437E"/>
    <w:rsid w:val="008A46F0"/>
    <w:rsid w:val="008A54CA"/>
    <w:rsid w:val="008A76C2"/>
    <w:rsid w:val="008A795A"/>
    <w:rsid w:val="008C451D"/>
    <w:rsid w:val="008D109D"/>
    <w:rsid w:val="008D2992"/>
    <w:rsid w:val="008E14F8"/>
    <w:rsid w:val="008E2587"/>
    <w:rsid w:val="008E3238"/>
    <w:rsid w:val="008F5FD6"/>
    <w:rsid w:val="009001EC"/>
    <w:rsid w:val="0090143C"/>
    <w:rsid w:val="00905E64"/>
    <w:rsid w:val="00906A11"/>
    <w:rsid w:val="009448A7"/>
    <w:rsid w:val="00976DC6"/>
    <w:rsid w:val="00977ADE"/>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5962"/>
    <w:rsid w:val="00AA7D9B"/>
    <w:rsid w:val="00AB1BCC"/>
    <w:rsid w:val="00AB3902"/>
    <w:rsid w:val="00AB410B"/>
    <w:rsid w:val="00AC7BA7"/>
    <w:rsid w:val="00AF6DDE"/>
    <w:rsid w:val="00B02D38"/>
    <w:rsid w:val="00B0311D"/>
    <w:rsid w:val="00B31DED"/>
    <w:rsid w:val="00B33EC8"/>
    <w:rsid w:val="00B3535C"/>
    <w:rsid w:val="00B37A3D"/>
    <w:rsid w:val="00B4366C"/>
    <w:rsid w:val="00B46320"/>
    <w:rsid w:val="00B77BF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87324"/>
    <w:rsid w:val="00CA1966"/>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F0889"/>
    <w:rsid w:val="00DF562E"/>
    <w:rsid w:val="00E44E98"/>
    <w:rsid w:val="00E56176"/>
    <w:rsid w:val="00E563E1"/>
    <w:rsid w:val="00E57937"/>
    <w:rsid w:val="00E7221E"/>
    <w:rsid w:val="00E74460"/>
    <w:rsid w:val="00E764C0"/>
    <w:rsid w:val="00E83DBA"/>
    <w:rsid w:val="00E8463F"/>
    <w:rsid w:val="00EA46DC"/>
    <w:rsid w:val="00EA7B06"/>
    <w:rsid w:val="00ED6F22"/>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5222</Words>
  <Characters>29771</Characters>
  <Application>Microsoft Office Word</Application>
  <DocSecurity>0</DocSecurity>
  <Lines>248</Lines>
  <Paragraphs>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Gor Mehrabyan</cp:lastModifiedBy>
  <cp:revision>3</cp:revision>
  <dcterms:created xsi:type="dcterms:W3CDTF">2025-11-27T15:01:00Z</dcterms:created>
  <dcterms:modified xsi:type="dcterms:W3CDTF">2025-11-27T15:03:00Z</dcterms:modified>
</cp:coreProperties>
</file>