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>
      <w:pPr>
        <w:spacing w:before="0" w:after="0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af-ZA"/>
        </w:rPr>
        <w:t>ОБЪЯВЛЕНИЕ</w:t>
      </w:r>
    </w:p>
    <w:p>
      <w:pPr>
        <w:spacing w:before="0" w:after="0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af-ZA"/>
        </w:rPr>
        <w:t>о заключенном договоре</w:t>
      </w:r>
    </w:p>
    <w:p>
      <w:pPr>
        <w:spacing w:before="0" w:after="0"/>
        <w:jc w:val="center"/>
        <w:rPr>
          <w:rFonts w:ascii="GHEA Grapalat" w:hAnsi="GHEA Grapalat" w:cs="Sylfaen"/>
          <w:b/>
          <w:szCs w:val="24"/>
          <w:lang w:val="af-ZA"/>
        </w:rPr>
      </w:pPr>
    </w:p>
    <w:p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Վերադաս պատվիրատուն՝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աշխատանքի և սոցիալական հարցերի նախարարությունը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ք.Երևան, Կառավարական տուն 3 հասցեում,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 ենթակայությանը հանձնված պետական ոչ առևտրային կազմակերպությունների կարիքների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ծխախոտի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 «ԱՍՀՆ-ՊՈԱԿ-ԳՀԱՊՁԲ-25/1-Ե» և «ԱՍՀՆ-ՊՈԱԿ-ԳՀԱՊՁԲ-25/1-Վ»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Вышестоящий заказчик, Министерство труда и социальных дел Республики Армения, расположенный по адресу: Дом правительства, 3, Ереван, представляет следующие документы в результате закупочной процедуры с кодом «ԱՍՀՆ-ՊՈԱԿ-ԳՀԱՊՁԲ-25/1-Ե» և «ԱՍՀՆ-ՊՈԱԿ-ԳՀԱՊՁԲ-25/1-Վ», организованной для закупка сигарет для нужд государственных некоммерческих организаций.Сведения о заключенном договоре: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265"/>
        <w:gridCol w:w="25"/>
        <w:gridCol w:w="965"/>
        <w:gridCol w:w="10"/>
        <w:gridCol w:w="636"/>
        <w:gridCol w:w="208"/>
        <w:gridCol w:w="316"/>
        <w:gridCol w:w="287"/>
        <w:gridCol w:w="8"/>
        <w:gridCol w:w="170"/>
        <w:gridCol w:w="693"/>
        <w:gridCol w:w="399"/>
        <w:gridCol w:w="14"/>
        <w:gridCol w:w="519"/>
        <w:gridCol w:w="36"/>
        <w:gridCol w:w="168"/>
        <w:gridCol w:w="187"/>
        <w:gridCol w:w="154"/>
        <w:gridCol w:w="273"/>
        <w:gridCol w:w="459"/>
        <w:gridCol w:w="39"/>
        <w:gridCol w:w="844"/>
        <w:gridCol w:w="26"/>
        <w:gridCol w:w="186"/>
        <w:gridCol w:w="35"/>
        <w:gridCol w:w="220"/>
        <w:gridCol w:w="1815"/>
      </w:tblGrid>
      <w:tr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0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Предмет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закупки</w:t>
            </w:r>
            <w:proofErr w:type="spellEnd"/>
          </w:p>
        </w:tc>
      </w:tr>
      <w:tr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лота</w:t>
            </w:r>
            <w:proofErr w:type="spellEnd"/>
          </w:p>
        </w:tc>
        <w:tc>
          <w:tcPr>
            <w:tcW w:w="153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наименование</w:t>
            </w:r>
            <w:proofErr w:type="spellEnd"/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единица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измерения</w:t>
            </w:r>
            <w:proofErr w:type="spellEnd"/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количество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сметная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краткое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описание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техническая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характеристика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краткое описание (техническая характеристика), предусмотренное по договору</w:t>
            </w:r>
          </w:p>
        </w:tc>
      </w:tr>
      <w:tr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538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4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общее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/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драмов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4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по имеющимся финансовым средствам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ind w:left="-374" w:right="65" w:firstLine="234"/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15991310/504</w:t>
            </w: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ab/>
              <w:t>Ծխախոտ 2</w:t>
            </w:r>
          </w:p>
          <w:p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Сигареты</w:t>
            </w:r>
            <w:r>
              <w:rPr>
                <w:rFonts w:ascii="GHEA Grapalat" w:hAnsi="GHEA Grapalat"/>
                <w:sz w:val="16"/>
                <w:szCs w:val="16"/>
              </w:rPr>
              <w:t xml:space="preserve"> 1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6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38400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19,584,000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Ծխախոտ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ֆիլտրով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ծխախոտը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ֆիլտրից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անբաժան՝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մեկ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միասնական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գլանակով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խոնավությունը՝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13 %-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ից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փոշու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առկայությունը՝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3,5 %-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ից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նիկոտինի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խեժի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պարունակությունը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սիգարետի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ծխում՝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նիկոտինը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քան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1,3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մգ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սիգ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խեժը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քան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16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մգ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սիգ։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Գլանակի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երկարությունը՝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90-100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մմ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հաստությունը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6-9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մմ։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Յուրաքանչյուր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տուփ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փակ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փաթեթավորմամբ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տուփի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մեջ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20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գլանակ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Անվտանգությունը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մակնշումը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ՀՀ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կառավարության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2015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թ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մարտի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5-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N 219-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որոշմամբ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Ծխախոտի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վերաբերյալ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տեխնիկական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կանոնակարգի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":                      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Հայրենական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lastRenderedPageBreak/>
              <w:t xml:space="preserve">արտադրության։փաթեթավորմամբ և տուփի մեջ առնվազն 20 գլանակ: Անվտանգությունը և մակնշումը` ՀՀ կառավարության 2005թ. ապրիլի 28-ի 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N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540-Ն որոշմամբ "Ծխախոտի վերաբերյալ տեխնիկական կանոնակարգի": Հայրենական արտադրության։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Сигарета с фильтром, сигарета, неотделимая от фильтра с одним цилиндром, влажность не более 13%, наличие пыли не более 3,5%, содержание никотиновых смол в сигаретном дыме: никотин не более 1,3 мг / бел, смола не более чем 16 мг / белый.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(Каждая коробка в закрытой упаковке, не менее 20 баллонов в коробке).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lastRenderedPageBreak/>
              <w:t xml:space="preserve">Ծխախոտ ֆիլտրով, ծխախոտը ֆիլտրից անբաժան՝ մեկ միասնական գլանակով, խոնավությունը՝ 13 %-ից ոչ ավելի,  փոշու առկայությունը՝ 3,5 %-ից ոչ ավելի, նիկոտինի և խեժի պարունակությունը  սիգարետի ծխում՝ նիկոտինը ոչ ավելի, քան 1,3 մգ/սիգ , խեժը ոչ ավելի, քան 16 մգ/սիգ։  Գլանակի երկարությունը՝ 90-100մմ, հաստությունը ՝ 6-9մմ։  Յուրաքանչյուր տուփ փակ փաթեթավորմամբ և տուփի մեջ առնվազն 20 գլանակ: Անվտանգությունը և մակնշումը` ՀՀ կառավարության 2015թ. մարտի 5-ի 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N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219-Ն որոշմամբ "Ծխախոտի վերաբերյալ տեխնիկական կանոնակարգի":                        Հայրենական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lastRenderedPageBreak/>
              <w:t xml:space="preserve">արտադրության։փաթեթավորմամբ և տուփի մեջ առնվազն 20 գլանակ: Անվտանգությունը և մակնշումը` ՀՀ կառավարության 2005թ. ապրիլի 28-ի 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N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540-Ն որոշմամբ "Ծխախոտի վերաբերյալ տեխնիկական կանոնակարգի": Հայրենական արտադրության։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Сигарета с фильтром, сигарета, неотделимая от фильтра с одним цилиндром, влажность не более 13%, наличие пыли не более 3,5%, содержание никотиновых смол в сигаретном дыме: никотин не более 1,3 мг / бел, смола не более чем 16 мг / белый.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(Каждая коробка в закрытой упаковке, не менее 20 баллонов в коробке).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</w:p>
        </w:tc>
      </w:tr>
      <w:tr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15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ind w:left="616"/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15991310/503</w:t>
            </w:r>
          </w:p>
          <w:p>
            <w:pPr>
              <w:ind w:left="616"/>
              <w:jc w:val="center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Ծխախոտ 1</w:t>
            </w:r>
          </w:p>
          <w:p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Сигареты 2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6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19674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10,230,480 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Ծխախոտ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ֆիլտրով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ծխախոտը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ֆիլտրից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անբաժան՝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մեկ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միասնական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գլանակով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խոնավությունը՝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13 %-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ից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փոշու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առկայությունը՝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3,5 %-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ից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նիկոտինի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խեժի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պարունակությունը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սիգարետի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ծխում՝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նիկոտինը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քան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1,3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մգ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սիգ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խեժը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ոչ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քան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16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մգ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/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սիգ։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Գլանակի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երկարությունը՝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90-100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մմ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հաստությունը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՝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6-9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մմ։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Յուրաքանչյուր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տուփ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փակ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փաթեթավորմամբ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տուփի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մեջ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20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գլանակ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Անվտանգությունը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մակնշումը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ՀՀ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կառավարության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2015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թ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մարտի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5-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N 219-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որոշմամբ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Ծխախոտի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վերաբերյալ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տեխնիկական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կանոնակարգի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":                       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Հայրենական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արտադրության։փաթեթավորմամբ և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lastRenderedPageBreak/>
              <w:t xml:space="preserve">տուփի մեջ առնվազն 20 գլանակ: Անվտանգությունը և մակնշումը` ՀՀ կառավարության 2005թ. ապրիլի 28-ի 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N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540-Ն որոշմամբ "Ծխախոտի վերաբերյալ տեխնիկական կանոնակարգի": Հայրենական արտադրության։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Сигарета с фильтром, сигарета, неотделимая от фильтра с одним цилиндром, влажность не более 13%, наличие пыли не более 3,5%, содержание никотиновых смол в сигаретном дыме: никотин не более 1,3 мг / бел, смола не более чем 16 мг / белый.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(Каждая коробка в закрытой упаковке, не менее 20 баллонов в коробке).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lastRenderedPageBreak/>
              <w:t xml:space="preserve">Ծխախոտ ֆիլտրով, ծխախոտը ֆիլտրից անբաժան՝ մեկ միասնական գլանակով, խոնավությունը՝ 13 %-ից ոչ ավելի,  փոշու առկայությունը՝ 3,5 %-ից ոչ ավելի, նիկոտինի և խեժի պարունակությունը  սիգարետի ծխում՝ նիկոտինը ոչ ավելի, քան 1,3 մգ/սիգ , խեժը ոչ ավելի, քան 16 մգ/սիգ։  Գլանակի երկարությունը՝ 90-100մմ, հաստությունը ՝ 6-9մմ։  Յուրաքանչյուր տուփ փակ փաթեթավորմամբ և տուփի մեջ առնվազն 20 գլանակ: Անվտանգությունը և մակնշումը` ՀՀ կառավարության 2015թ. մարտի 5-ի 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N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219-Ն որոշմամբ "Ծխախոտի վերաբերյալ տեխնիկական կանոնակարգի":                        Հայրենական արտադրության։փաթեթավորմամբ և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lastRenderedPageBreak/>
              <w:t xml:space="preserve">տուփի մեջ առնվազն 20 գլանակ: Անվտանգությունը և մակնշումը` ՀՀ կառավարության 2005թ. ապրիլի 28-ի 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N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 xml:space="preserve"> 540-Ն որոշմամբ "Ծխախոտի վերաբերյալ տեխնիկական կանոնակարգի": Հայրենական արտադրության։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Сигарета с фильтром, сигарета, неотделимая от фильтра с одним цилиндром, влажность не более 13%, наличие пыли не более 3,5%, содержание никотиновых смол в сигаретном дыме: никотин не более 1,3 мг / бел, смола не более чем 16 мг / белый.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(Каждая коробка в закрытой упаковке, не менее 20 баллонов в коробке).</w:t>
            </w:r>
          </w:p>
        </w:tc>
      </w:tr>
      <w:tr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790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 ընթացակարգ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ընտրության հիմնավորումը</w:t>
            </w:r>
          </w:p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Էլեկտրոնային աճուրդի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CPV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կոդերում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չէր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։Գնումների մասին օրենքի 22-րդ հոդվածի համապատասխան։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Отсутствует в кодах CPV электронного аукциона В соответствии со статьей 22 Закона о закупках.</w:t>
            </w:r>
          </w:p>
        </w:tc>
      </w:tr>
      <w:tr>
        <w:trPr>
          <w:trHeight w:val="43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направления или опубликования приглашения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2024-10-17</w:t>
            </w: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изменений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внесенных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в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приглашение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разъяснений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относительно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приглашения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Получения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запроса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Разъяснения</w:t>
            </w:r>
            <w:proofErr w:type="spellEnd"/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П/Н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Наименования</w:t>
            </w:r>
            <w:proofErr w:type="spellEnd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участников</w:t>
            </w:r>
            <w:proofErr w:type="spellEnd"/>
          </w:p>
        </w:tc>
        <w:tc>
          <w:tcPr>
            <w:tcW w:w="7692" w:type="dxa"/>
            <w:gridSpan w:val="2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</w:p>
        </w:tc>
      </w:tr>
      <w:tr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Цена без НДС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Всего</w:t>
            </w:r>
            <w:proofErr w:type="spellEnd"/>
          </w:p>
        </w:tc>
      </w:tr>
      <w:tr>
        <w:trPr>
          <w:trHeight w:val="83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«ԱՍՀՆ-ՊՈԱԿ-ԳՀԱՊՁԲ-25/1-Ե»</w:t>
            </w:r>
          </w:p>
        </w:tc>
      </w:tr>
      <w:tr>
        <w:trPr>
          <w:trHeight w:val="60"/>
        </w:trPr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Աշան-Արմ</w:t>
            </w:r>
            <w:proofErr w:type="spellEnd"/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8,574,585 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1,714,917 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   10,289,502 </w:t>
            </w:r>
          </w:p>
        </w:tc>
      </w:tr>
      <w:tr>
        <w:trPr>
          <w:trHeight w:val="60"/>
        </w:trPr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Վոլմ</w:t>
            </w:r>
            <w:proofErr w:type="spellEnd"/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Քոմփանի</w:t>
            </w:r>
            <w:proofErr w:type="spellEnd"/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» ՍՊԸ</w:t>
            </w:r>
          </w:p>
        </w:tc>
        <w:tc>
          <w:tcPr>
            <w:tcW w:w="3250" w:type="dxa"/>
            <w:gridSpan w:val="10"/>
            <w:shd w:val="clear" w:color="auto" w:fill="auto"/>
            <w:vAlign w:val="bottom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10,425,000 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   10,425,000 </w:t>
            </w:r>
          </w:p>
        </w:tc>
      </w:tr>
      <w:tr>
        <w:trPr>
          <w:trHeight w:val="60"/>
        </w:trPr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ՖՈՒԴ ՄՈՒԴ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8,525,400 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1,705,080 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   10,230,480 </w:t>
            </w:r>
          </w:p>
        </w:tc>
      </w:tr>
      <w:t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«ԱՍՀՆ-ՊՈԱԿ-ԳՀԱՊՁԲ-25/1-Վ»</w:t>
            </w:r>
          </w:p>
        </w:tc>
      </w:tr>
      <w:tr>
        <w:trPr>
          <w:trHeight w:val="60"/>
        </w:trPr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«Աշան-Արմ» ՍՊԸ</w:t>
            </w:r>
          </w:p>
        </w:tc>
        <w:tc>
          <w:tcPr>
            <w:tcW w:w="328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16,736,000 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3,347,200 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   20,083,200 </w:t>
            </w:r>
          </w:p>
        </w:tc>
      </w:tr>
      <w:tr>
        <w:trPr>
          <w:trHeight w:val="60"/>
        </w:trPr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«Վոլմ Քոմփանի» ՍՊԸ</w:t>
            </w:r>
          </w:p>
        </w:tc>
        <w:tc>
          <w:tcPr>
            <w:tcW w:w="3286" w:type="dxa"/>
            <w:gridSpan w:val="11"/>
            <w:shd w:val="clear" w:color="auto" w:fill="auto"/>
            <w:vAlign w:val="bottom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20,437,000 </w:t>
            </w:r>
          </w:p>
        </w:tc>
        <w:tc>
          <w:tcPr>
            <w:tcW w:w="2124" w:type="dxa"/>
            <w:gridSpan w:val="7"/>
            <w:shd w:val="clear" w:color="auto" w:fill="auto"/>
            <w:vAlign w:val="bottom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   20,437,000 </w:t>
            </w:r>
          </w:p>
        </w:tc>
      </w:tr>
      <w:tr>
        <w:trPr>
          <w:trHeight w:val="304"/>
        </w:trPr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sz w:val="16"/>
                <w:szCs w:val="14"/>
                <w:lang w:val="hy-AM" w:eastAsia="ru-RU"/>
              </w:rPr>
              <w:t>ՖՈՒԴ ՄՈՒԴ ՍՊԸ</w:t>
            </w:r>
          </w:p>
        </w:tc>
        <w:tc>
          <w:tcPr>
            <w:tcW w:w="3286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16,320,000 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3,264,000 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        19,584,000 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сведения</w:t>
            </w:r>
            <w:proofErr w:type="spellEnd"/>
          </w:p>
        </w:tc>
        <w:tc>
          <w:tcPr>
            <w:tcW w:w="8957" w:type="dxa"/>
            <w:gridSpan w:val="27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`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Примечание: Иные основания для отклонения заявок.</w:t>
            </w:r>
          </w:p>
        </w:tc>
      </w:tr>
      <w:tr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определения отобранного участника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25/10/2024</w:t>
            </w:r>
          </w:p>
        </w:tc>
      </w:tr>
      <w:tr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Начало периода ожидания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Окончание периода ожидания</w:t>
            </w:r>
          </w:p>
        </w:tc>
      </w:tr>
      <w:tr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/10/2024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07/11/2024</w:t>
            </w:r>
          </w:p>
        </w:tc>
      </w:tr>
      <w:tr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</w:t>
            </w:r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Дата извещения отобранного участника о предложении относительно заключения договора            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15/11/2024</w:t>
            </w:r>
          </w:p>
        </w:tc>
      </w:tr>
      <w:tr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15/11/2024</w:t>
            </w:r>
          </w:p>
        </w:tc>
      </w:tr>
      <w:tr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подписания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заказчиком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25/11/2024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c>
          <w:tcPr>
            <w:tcW w:w="814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лота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Отобранный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</w:t>
            </w:r>
            <w:proofErr w:type="spellEnd"/>
          </w:p>
        </w:tc>
      </w:tr>
      <w:tr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4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</w:p>
        </w:tc>
        <w:tc>
          <w:tcPr>
            <w:tcW w:w="115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заключения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Крайний срок исполнения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Размер предоплаты</w:t>
            </w: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4" w:type="dxa"/>
            <w:gridSpan w:val="8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Драмов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РА</w:t>
            </w:r>
          </w:p>
        </w:tc>
      </w:tr>
      <w:tr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По имеющимся финансовым средствам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ՖՈՒԴ ՄՈՒԴ ՍՊԸ</w:t>
            </w: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«ԱՍՀՆ-ՊՈԱԿ-ԳՀԱՊՁԲ-25/1-Ե» 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«ԱՍՀՆ-ՊՈԱԿ-ԳՀԱՊՁԲ-25/1-Վ»</w:t>
            </w:r>
          </w:p>
        </w:tc>
        <w:tc>
          <w:tcPr>
            <w:tcW w:w="1158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25.11.2024թ</w:t>
            </w:r>
            <w:r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25.12.2025թ</w:t>
            </w:r>
            <w:r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        29,814,480 </w:t>
            </w:r>
          </w:p>
        </w:tc>
      </w:tr>
      <w:tr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Наименование и адрес отобранного участника (отобранных участников)</w:t>
            </w:r>
          </w:p>
        </w:tc>
      </w:tr>
      <w:tr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Номер лота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Отобранный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Банковский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УНН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Номер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серия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паспорта</w:t>
            </w:r>
          </w:p>
        </w:tc>
      </w:tr>
      <w:tr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ՖՈՒԴ ՄՈՒԴ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 w:cs="Cambria Math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sz w:val="14"/>
                <w:szCs w:val="14"/>
                <w:lang w:val="hy-AM" w:eastAsia="ru-RU"/>
              </w:rPr>
              <w:t>Երևան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GHEA Grapalat"/>
                <w:sz w:val="14"/>
                <w:szCs w:val="14"/>
                <w:lang w:val="hy-AM" w:eastAsia="ru-RU"/>
              </w:rPr>
              <w:t>Ավան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GHEA Grapalat"/>
                <w:sz w:val="14"/>
                <w:szCs w:val="14"/>
                <w:lang w:val="hy-AM" w:eastAsia="ru-RU"/>
              </w:rPr>
              <w:t>Հովհաննիսյան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24/7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Style w:val="Hyperlink"/>
                <w:lang w:val="hy-AM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19300658434900</w:t>
            </w: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01040645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сведения</w:t>
            </w:r>
            <w:proofErr w:type="spellEnd"/>
          </w:p>
        </w:tc>
        <w:tc>
          <w:tcPr>
            <w:tcW w:w="866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 xml:space="preserve"> </w:t>
            </w:r>
          </w:p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սույն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մասով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մասնակիցները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այնպես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գրանցում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ստացած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հասարակական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լրատվական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գործունեություն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իրականացնող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անձինք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են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պատվիրատուին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ներկայացնել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կնքված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արդյունքի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ընդունման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գործընթացին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համատեղ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մասնակցելու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գրավոր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պահանջ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սույն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հրապարակվելուց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------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օրացուցային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օրվա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ընթացքում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lang w:eastAsia="ru-RU"/>
              </w:rPr>
              <w:t>: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4)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ղեկավարի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eastAsia="ru-RU"/>
              </w:rPr>
              <w:t xml:space="preserve"> է  ---------------------------:</w:t>
            </w:r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vertAlign w:val="superscript"/>
                <w:lang w:eastAsia="ru-RU"/>
              </w:rPr>
              <w:footnoteReference w:id="8"/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</w:t>
            </w:r>
            <w:r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дней после опубликования настоящего объявления.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 письменному требованию прилагается: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1) оригинал доверенности, выданный физическому лицу. При этом 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а. количество уполномоченных физических лиц не может превысить двух,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б. уполномоченное физическое лицо должно лично выполнять действия, на которые уполномочено;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trike/>
                <w:sz w:val="14"/>
                <w:szCs w:val="14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Официальный адрес электронной почты руководителя ответственного подразделения заказчика---------------------------.8</w:t>
            </w: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Другие необходимые сведения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>
        <w:trPr>
          <w:trHeight w:val="47"/>
        </w:trPr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Фамилия</w:t>
            </w:r>
            <w:proofErr w:type="spellEnd"/>
          </w:p>
        </w:tc>
        <w:tc>
          <w:tcPr>
            <w:tcW w:w="38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почты</w:t>
            </w:r>
            <w:proofErr w:type="spellEnd"/>
          </w:p>
        </w:tc>
      </w:tr>
      <w:tr>
        <w:trPr>
          <w:trHeight w:val="47"/>
        </w:trPr>
        <w:tc>
          <w:tcPr>
            <w:tcW w:w="3510" w:type="dxa"/>
            <w:gridSpan w:val="8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Ք</w:t>
            </w:r>
            <w:r>
              <w:rPr>
                <w:rFonts w:ascii="Cambria Math" w:eastAsia="Times New Roman" w:hAnsi="Cambria Math" w:cs="Cambria Math"/>
                <w:b/>
                <w:bCs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Մայիլյան</w:t>
            </w:r>
          </w:p>
        </w:tc>
        <w:tc>
          <w:tcPr>
            <w:tcW w:w="3805" w:type="dxa"/>
            <w:gridSpan w:val="15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010 300 124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kristine.mailyan@mlsa.am</w:t>
              </w:r>
            </w:hyperlink>
          </w:p>
        </w:tc>
      </w:tr>
    </w:tbl>
    <w:p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>
      <w:pPr>
        <w:tabs>
          <w:tab w:val="left" w:pos="9829"/>
        </w:tabs>
        <w:ind w:left="0" w:firstLine="0"/>
        <w:rPr>
          <w:rFonts w:ascii="GHEA Grapalat" w:hAnsi="GHEA Grapalat"/>
          <w:sz w:val="18"/>
          <w:szCs w:val="18"/>
          <w:lang w:val="hy-AM"/>
        </w:rPr>
      </w:pPr>
    </w:p>
    <w:sectPr>
      <w:pgSz w:w="11907" w:h="16840" w:code="9"/>
      <w:pgMar w:top="810" w:right="567" w:bottom="284" w:left="117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8"/>
          <w:szCs w:val="8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՝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>
      <w:pPr>
        <w:pStyle w:val="FootnoteText"/>
        <w:jc w:val="both"/>
        <w:rPr>
          <w:rFonts w:ascii="Calibri" w:hAnsi="Calibri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57DCE2-016C-45B1-9E70-47F8FC9B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mailyan@mls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92A7-8C7D-4CD4-9465-7E12225E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kristine mailyan</cp:lastModifiedBy>
  <cp:revision>88</cp:revision>
  <cp:lastPrinted>2021-12-17T10:05:00Z</cp:lastPrinted>
  <dcterms:created xsi:type="dcterms:W3CDTF">2021-06-28T12:08:00Z</dcterms:created>
  <dcterms:modified xsi:type="dcterms:W3CDTF">2024-12-16T08:01:00Z</dcterms:modified>
</cp:coreProperties>
</file>