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4F243" w14:textId="77777777" w:rsidR="00AF2D27" w:rsidRDefault="00AF2D27" w:rsidP="00AF2D27">
      <w:pPr>
        <w:jc w:val="center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Տեխնիկական առաջադրանք</w:t>
      </w:r>
    </w:p>
    <w:p w14:paraId="721ECEC7" w14:textId="77777777" w:rsidR="00AF2D27" w:rsidRDefault="00AF2D27" w:rsidP="00AF2D27">
      <w:pPr>
        <w:pStyle w:val="a3"/>
        <w:spacing w:line="320" w:lineRule="exact"/>
        <w:jc w:val="center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22043A">
        <w:rPr>
          <w:rFonts w:ascii="GHEA Grapalat" w:hAnsi="GHEA Grapalat"/>
          <w:b/>
          <w:sz w:val="20"/>
          <w:szCs w:val="20"/>
          <w:lang w:val="hy-AM"/>
        </w:rPr>
        <w:t>«Հայաստանի հեռուստատեսային և ռադիոհաղորդիչ ցանց» ՓԲԸ կարիքների համար</w:t>
      </w:r>
      <w:r w:rsidRPr="0022043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2043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Երևանի </w:t>
      </w:r>
      <w:r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H=311մ հեռուստաաշտարակի վրա գեղազարդ լուսավորման նոր համակարգի տեղադրման </w:t>
      </w:r>
    </w:p>
    <w:p w14:paraId="22EF8B5A" w14:textId="77777777" w:rsidR="00AF2D27" w:rsidRPr="0022043A" w:rsidRDefault="00AF2D27" w:rsidP="00AF2D27">
      <w:pPr>
        <w:pStyle w:val="a3"/>
        <w:spacing w:line="320" w:lineRule="exact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AC1B444" w14:textId="77777777" w:rsidR="00AF2D27" w:rsidRPr="00815A26" w:rsidRDefault="00AF2D27" w:rsidP="00AF2D27">
      <w:pPr>
        <w:pStyle w:val="a4"/>
        <w:numPr>
          <w:ilvl w:val="0"/>
          <w:numId w:val="5"/>
        </w:numPr>
        <w:spacing w:after="160" w:line="360" w:lineRule="auto"/>
        <w:jc w:val="both"/>
        <w:rPr>
          <w:rFonts w:ascii="GHEA Grapalat" w:hAnsi="GHEA Grapalat"/>
          <w:b/>
          <w:bCs/>
          <w:sz w:val="18"/>
          <w:szCs w:val="18"/>
          <w:lang w:val="hy-AM"/>
        </w:rPr>
      </w:pPr>
      <w:r w:rsidRPr="00815A26">
        <w:rPr>
          <w:rFonts w:ascii="GHEA Grapalat" w:hAnsi="GHEA Grapalat"/>
          <w:b/>
          <w:bCs/>
          <w:sz w:val="18"/>
          <w:szCs w:val="18"/>
          <w:lang w:val="hy-AM"/>
        </w:rPr>
        <w:t>Նպատակը</w:t>
      </w:r>
    </w:p>
    <w:p w14:paraId="542D73DC" w14:textId="77777777" w:rsidR="00AF2D27" w:rsidRPr="00815A26" w:rsidRDefault="00AF2D27" w:rsidP="00AF2D27">
      <w:pPr>
        <w:spacing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 xml:space="preserve">«Հայաստանի հեռուստատեսային և ռադիոհաղորդիչ ցանց» ՓԲ ընկերությունը (այսուհետ՝ ՀՀՌՑ) նախատեսում է փոխարինել Երևանի H=311մ հեռուստաաշտարակի (այսուհետ՝ հեռուստաաշտարակ) ֆիզիկապես և բարոյապես մաշված գեղազարդ լուսավորման համակարգը՝ տեղադրելով նոր ժամանակակից լուսավորման համակարգ։ </w:t>
      </w:r>
    </w:p>
    <w:p w14:paraId="6EC2B2FC" w14:textId="77777777" w:rsidR="00AF2D27" w:rsidRPr="00815A26" w:rsidRDefault="00AF2D27" w:rsidP="00AF2D27">
      <w:pPr>
        <w:spacing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 xml:space="preserve">Լուսավորման նոր համակարգը տարբեր գունային երանգներով և լուսավորման սցենարներով պետք է ամբողջությամբ լուսավորի հեռուստաաշտարակը՝ ընդգծելով վերջինիս ուրվագիծը։ Գեղազարդ լուսավորման համակարգի մանրամասն նկարագիրը, հնարավորությունները և վերջինիս ներկայացվող այլ պահանջները ներկայացված են սույն փաստաթղթում։ </w:t>
      </w:r>
    </w:p>
    <w:p w14:paraId="3E595540" w14:textId="77777777" w:rsidR="00AF2D27" w:rsidRPr="00815A26" w:rsidRDefault="00AF2D27" w:rsidP="00AF2D27">
      <w:pPr>
        <w:pStyle w:val="a4"/>
        <w:numPr>
          <w:ilvl w:val="0"/>
          <w:numId w:val="5"/>
        </w:numPr>
        <w:spacing w:after="160" w:line="360" w:lineRule="auto"/>
        <w:jc w:val="both"/>
        <w:rPr>
          <w:rFonts w:ascii="GHEA Grapalat" w:hAnsi="GHEA Grapalat"/>
          <w:sz w:val="18"/>
          <w:szCs w:val="18"/>
          <w:lang w:val="en-US"/>
        </w:rPr>
      </w:pPr>
      <w:r w:rsidRPr="00815A26">
        <w:rPr>
          <w:rFonts w:ascii="GHEA Grapalat" w:hAnsi="GHEA Grapalat"/>
          <w:b/>
          <w:bCs/>
          <w:sz w:val="18"/>
          <w:szCs w:val="18"/>
          <w:lang w:val="hy-AM"/>
        </w:rPr>
        <w:t>Հեռուստաաշտարակի նկարագրությունը</w:t>
      </w:r>
    </w:p>
    <w:p w14:paraId="04283AB7" w14:textId="77777777" w:rsidR="00AF2D27" w:rsidRPr="00815A26" w:rsidRDefault="00AF2D27" w:rsidP="00AF2D27">
      <w:pPr>
        <w:spacing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 xml:space="preserve">Երևանի </w:t>
      </w:r>
      <w:r w:rsidRPr="00815A26">
        <w:rPr>
          <w:rFonts w:ascii="GHEA Grapalat" w:hAnsi="GHEA Grapalat"/>
          <w:sz w:val="18"/>
          <w:szCs w:val="18"/>
        </w:rPr>
        <w:t>H=3</w:t>
      </w:r>
      <w:r w:rsidRPr="00815A26">
        <w:rPr>
          <w:rFonts w:ascii="GHEA Grapalat" w:hAnsi="GHEA Grapalat"/>
          <w:sz w:val="18"/>
          <w:szCs w:val="18"/>
          <w:lang w:val="hy-AM"/>
        </w:rPr>
        <w:t>11մ հեռուստաաշտարակը ունի երեք հստակ արտահայտված կառուցվածքային հատվածներ</w:t>
      </w:r>
      <w:r w:rsidRPr="00815A26">
        <w:rPr>
          <w:rFonts w:ascii="GHEA Grapalat" w:hAnsi="GHEA Grapalat"/>
          <w:sz w:val="18"/>
          <w:szCs w:val="18"/>
        </w:rPr>
        <w:t>.</w:t>
      </w:r>
    </w:p>
    <w:p w14:paraId="16613661" w14:textId="77777777" w:rsidR="00AF2D27" w:rsidRPr="00815A26" w:rsidRDefault="00AF2D27" w:rsidP="00AF2D27">
      <w:pPr>
        <w:pStyle w:val="a4"/>
        <w:numPr>
          <w:ilvl w:val="0"/>
          <w:numId w:val="1"/>
        </w:numPr>
        <w:spacing w:after="16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 xml:space="preserve">Ներքևի հատվածը (մինչև +130,4մ) իրենից ներկայացնում է եռանկյունաձև տարածական կառուցվածք՝ +39,5մ և +70,5մ նիշերում գոտիների կոտրվածքներով։ Եռանկյունաձև կառուցվածքի յուրաքանչյուր եզր ձևավորված է երեք թեք հարթությունով։ Հիմնային մասում հեռուստաաշտարակի հիմքի կողմը 60մ է, իսկ եռանկյունաձև կառուցվածքի վերին հատվածում (+130,4մ նիշ)՝ 10մ։  </w:t>
      </w:r>
    </w:p>
    <w:p w14:paraId="2A6FEE0C" w14:textId="77777777" w:rsidR="00AF2D27" w:rsidRPr="00815A26" w:rsidRDefault="00AF2D27" w:rsidP="00AF2D27">
      <w:pPr>
        <w:spacing w:line="360" w:lineRule="auto"/>
        <w:ind w:left="708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>Հեռուստաաշտարակի եռանկյունաձև մասի +39,5մ նիշում տեղակայված գոտիները և շեղաթեքանները իրականացված են կանոնավոր եռանկյունաձև պրիզմաների և հարթ ճաղային ֆերմաների տեսքով։</w:t>
      </w:r>
    </w:p>
    <w:p w14:paraId="230C0ECA" w14:textId="77777777" w:rsidR="00AF2D27" w:rsidRPr="00815A26" w:rsidRDefault="00AF2D27" w:rsidP="00AF2D27">
      <w:pPr>
        <w:pStyle w:val="a4"/>
        <w:numPr>
          <w:ilvl w:val="0"/>
          <w:numId w:val="1"/>
        </w:numPr>
        <w:spacing w:after="16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 xml:space="preserve">Հեռուստաաշտարակի +130,4մ … +172,7մ նիշերի միջև գտնվող միջին հատվածը իրենից ներկայացնում է կանոնավոր վեցանկյուն պրիզմա՝ ներգծված շրջանագծի 5000մմ շառավղով։ </w:t>
      </w:r>
    </w:p>
    <w:p w14:paraId="20A0195A" w14:textId="77777777" w:rsidR="00AF2D27" w:rsidRPr="00815A26" w:rsidRDefault="00AF2D27" w:rsidP="00AF2D27">
      <w:pPr>
        <w:pStyle w:val="a4"/>
        <w:numPr>
          <w:ilvl w:val="0"/>
          <w:numId w:val="1"/>
        </w:numPr>
        <w:spacing w:after="16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>Հեռուստաաշտարակի մեջտեղում առկա է 4000մմ տրամագծով վերելակների հորանը, որը +172,7մ նիշից անցում է կատարում հեռուստաաշտարակի բարձակային մասի (անտենային փող), որն իրենից ներկայացնում է փոփոխական տրամագծով գլանաձև կոնստրուկցիա՝ կոնաձև անցումներով.</w:t>
      </w:r>
    </w:p>
    <w:p w14:paraId="38F94D7D" w14:textId="77777777" w:rsidR="00AF2D27" w:rsidRPr="00815A26" w:rsidRDefault="00AF2D27" w:rsidP="00AF2D27">
      <w:pPr>
        <w:pStyle w:val="a4"/>
        <w:numPr>
          <w:ilvl w:val="1"/>
          <w:numId w:val="1"/>
        </w:numPr>
        <w:spacing w:after="16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>0</w:t>
      </w:r>
      <w:r w:rsidRPr="00815A26">
        <w:rPr>
          <w:rFonts w:ascii="GHEA Grapalat" w:hAnsi="GHEA Grapalat"/>
          <w:sz w:val="18"/>
          <w:szCs w:val="18"/>
          <w:lang w:val="en-US"/>
        </w:rPr>
        <w:t>,0</w:t>
      </w:r>
      <w:r w:rsidRPr="00815A26">
        <w:rPr>
          <w:rFonts w:ascii="GHEA Grapalat" w:hAnsi="GHEA Grapalat"/>
          <w:sz w:val="18"/>
          <w:szCs w:val="18"/>
          <w:lang w:val="hy-AM"/>
        </w:rPr>
        <w:t xml:space="preserve">մ </w:t>
      </w:r>
      <w:r w:rsidRPr="00815A26">
        <w:rPr>
          <w:rFonts w:ascii="GHEA Grapalat" w:hAnsi="GHEA Grapalat"/>
          <w:sz w:val="18"/>
          <w:szCs w:val="18"/>
          <w:lang w:val="en-US"/>
        </w:rPr>
        <w:t>…</w:t>
      </w:r>
      <w:r w:rsidRPr="00815A26">
        <w:rPr>
          <w:rFonts w:ascii="GHEA Grapalat" w:hAnsi="GHEA Grapalat"/>
          <w:sz w:val="18"/>
          <w:szCs w:val="18"/>
          <w:lang w:val="hy-AM"/>
        </w:rPr>
        <w:t xml:space="preserve"> +210,7մ՝ </w:t>
      </w:r>
      <w:r w:rsidRPr="00815A26">
        <w:rPr>
          <w:rFonts w:ascii="GHEA Grapalat" w:hAnsi="GHEA Grapalat"/>
          <w:sz w:val="18"/>
          <w:szCs w:val="18"/>
          <w:lang w:val="hy-AM"/>
        </w:rPr>
        <w:tab/>
        <w:t>4000մմ տրամագիծ</w:t>
      </w:r>
    </w:p>
    <w:p w14:paraId="4F1E8C4D" w14:textId="77777777" w:rsidR="00AF2D27" w:rsidRPr="00815A26" w:rsidRDefault="00AF2D27" w:rsidP="00AF2D27">
      <w:pPr>
        <w:pStyle w:val="a4"/>
        <w:numPr>
          <w:ilvl w:val="1"/>
          <w:numId w:val="1"/>
        </w:numPr>
        <w:spacing w:after="16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>+214,2մ</w:t>
      </w:r>
      <w:r w:rsidRPr="00815A26">
        <w:rPr>
          <w:rFonts w:ascii="GHEA Grapalat" w:hAnsi="GHEA Grapalat"/>
          <w:sz w:val="18"/>
          <w:szCs w:val="18"/>
          <w:lang w:val="en-US"/>
        </w:rPr>
        <w:t xml:space="preserve"> …</w:t>
      </w:r>
      <w:r w:rsidRPr="00815A26">
        <w:rPr>
          <w:rFonts w:ascii="GHEA Grapalat" w:hAnsi="GHEA Grapalat"/>
          <w:sz w:val="18"/>
          <w:szCs w:val="18"/>
          <w:lang w:val="hy-AM"/>
        </w:rPr>
        <w:t xml:space="preserve"> +242,6մ՝ </w:t>
      </w:r>
      <w:r w:rsidRPr="00815A26">
        <w:rPr>
          <w:rFonts w:ascii="GHEA Grapalat" w:hAnsi="GHEA Grapalat"/>
          <w:sz w:val="18"/>
          <w:szCs w:val="18"/>
          <w:lang w:val="hy-AM"/>
        </w:rPr>
        <w:tab/>
        <w:t>3000մմ տրամագիծ</w:t>
      </w:r>
    </w:p>
    <w:p w14:paraId="61F94248" w14:textId="77777777" w:rsidR="00AF2D27" w:rsidRPr="00815A26" w:rsidRDefault="00AF2D27" w:rsidP="00AF2D27">
      <w:pPr>
        <w:pStyle w:val="a4"/>
        <w:numPr>
          <w:ilvl w:val="1"/>
          <w:numId w:val="1"/>
        </w:numPr>
        <w:spacing w:after="16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>+244,1մ</w:t>
      </w:r>
      <w:r w:rsidRPr="00815A26">
        <w:rPr>
          <w:rFonts w:ascii="GHEA Grapalat" w:hAnsi="GHEA Grapalat"/>
          <w:sz w:val="18"/>
          <w:szCs w:val="18"/>
          <w:lang w:val="en-US"/>
        </w:rPr>
        <w:t xml:space="preserve"> …</w:t>
      </w:r>
      <w:r w:rsidRPr="00815A26">
        <w:rPr>
          <w:rFonts w:ascii="GHEA Grapalat" w:hAnsi="GHEA Grapalat"/>
          <w:sz w:val="18"/>
          <w:szCs w:val="18"/>
          <w:lang w:val="hy-AM"/>
        </w:rPr>
        <w:t xml:space="preserve"> +269,8մ՝ </w:t>
      </w:r>
      <w:r w:rsidRPr="00815A26">
        <w:rPr>
          <w:rFonts w:ascii="GHEA Grapalat" w:hAnsi="GHEA Grapalat"/>
          <w:sz w:val="18"/>
          <w:szCs w:val="18"/>
          <w:lang w:val="hy-AM"/>
        </w:rPr>
        <w:tab/>
        <w:t>2600մմ տրամագիծ</w:t>
      </w:r>
    </w:p>
    <w:p w14:paraId="3270BBF8" w14:textId="77777777" w:rsidR="00AF2D27" w:rsidRPr="00815A26" w:rsidRDefault="00AF2D27" w:rsidP="00AF2D27">
      <w:pPr>
        <w:pStyle w:val="a4"/>
        <w:numPr>
          <w:ilvl w:val="1"/>
          <w:numId w:val="1"/>
        </w:numPr>
        <w:spacing w:after="16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 xml:space="preserve">+272,9մ </w:t>
      </w:r>
      <w:r w:rsidRPr="00815A26">
        <w:rPr>
          <w:rFonts w:ascii="GHEA Grapalat" w:hAnsi="GHEA Grapalat"/>
          <w:sz w:val="18"/>
          <w:szCs w:val="18"/>
          <w:lang w:val="en-US"/>
        </w:rPr>
        <w:t xml:space="preserve">… </w:t>
      </w:r>
      <w:r w:rsidRPr="00815A26">
        <w:rPr>
          <w:rFonts w:ascii="GHEA Grapalat" w:hAnsi="GHEA Grapalat"/>
          <w:sz w:val="18"/>
          <w:szCs w:val="18"/>
          <w:lang w:val="hy-AM"/>
        </w:rPr>
        <w:t xml:space="preserve">+286,8մ՝ </w:t>
      </w:r>
      <w:r w:rsidRPr="00815A26">
        <w:rPr>
          <w:rFonts w:ascii="GHEA Grapalat" w:hAnsi="GHEA Grapalat"/>
          <w:sz w:val="18"/>
          <w:szCs w:val="18"/>
          <w:lang w:val="hy-AM"/>
        </w:rPr>
        <w:tab/>
        <w:t>1720մմ տրամագիծ</w:t>
      </w:r>
    </w:p>
    <w:p w14:paraId="29E7DD94" w14:textId="77777777" w:rsidR="00AF2D27" w:rsidRPr="00815A26" w:rsidRDefault="00AF2D27" w:rsidP="00AF2D27">
      <w:pPr>
        <w:pStyle w:val="a4"/>
        <w:numPr>
          <w:ilvl w:val="1"/>
          <w:numId w:val="1"/>
        </w:numPr>
        <w:spacing w:after="16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>+288,8մ</w:t>
      </w:r>
      <w:r w:rsidRPr="00815A26">
        <w:rPr>
          <w:rFonts w:ascii="GHEA Grapalat" w:hAnsi="GHEA Grapalat"/>
          <w:sz w:val="18"/>
          <w:szCs w:val="18"/>
          <w:lang w:val="en-US"/>
        </w:rPr>
        <w:t xml:space="preserve"> …</w:t>
      </w:r>
      <w:r w:rsidRPr="00815A26">
        <w:rPr>
          <w:rFonts w:ascii="GHEA Grapalat" w:hAnsi="GHEA Grapalat"/>
          <w:sz w:val="18"/>
          <w:szCs w:val="18"/>
          <w:lang w:val="hy-AM"/>
        </w:rPr>
        <w:t xml:space="preserve"> +307,7մ՝ </w:t>
      </w:r>
      <w:r w:rsidRPr="00815A26">
        <w:rPr>
          <w:rFonts w:ascii="GHEA Grapalat" w:hAnsi="GHEA Grapalat"/>
          <w:sz w:val="18"/>
          <w:szCs w:val="18"/>
          <w:lang w:val="hy-AM"/>
        </w:rPr>
        <w:tab/>
        <w:t>720մմ տրամագիծ</w:t>
      </w:r>
    </w:p>
    <w:p w14:paraId="3F2C515B" w14:textId="77777777" w:rsidR="00AF2D27" w:rsidRPr="00815A26" w:rsidRDefault="00AF2D27" w:rsidP="00AF2D27">
      <w:pPr>
        <w:spacing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>Հեռուստաաշտարակի հորանի ամբողջ երկարությամբ առկա է ուղղաձիգ մետաղական աստիճան։</w:t>
      </w:r>
    </w:p>
    <w:p w14:paraId="2239DAB0" w14:textId="77777777" w:rsidR="00AF2D27" w:rsidRPr="00815A26" w:rsidRDefault="00AF2D27" w:rsidP="00AF2D27">
      <w:pPr>
        <w:spacing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>Հեռուստաաշտարակի վրա տեղակայված է երկու տեխնիկական սրահ.</w:t>
      </w:r>
    </w:p>
    <w:p w14:paraId="2087687B" w14:textId="77777777" w:rsidR="00AF2D27" w:rsidRPr="00815A26" w:rsidRDefault="00AF2D27" w:rsidP="00AF2D27">
      <w:pPr>
        <w:pStyle w:val="a4"/>
        <w:numPr>
          <w:ilvl w:val="0"/>
          <w:numId w:val="1"/>
        </w:numPr>
        <w:spacing w:after="16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>Եռանկյունաձև մեկ հարկանի սրահ՝ +70մ …+75մ նիշեր</w:t>
      </w:r>
    </w:p>
    <w:p w14:paraId="05C008A9" w14:textId="77777777" w:rsidR="00AF2D27" w:rsidRPr="00815A26" w:rsidRDefault="00AF2D27" w:rsidP="00AF2D27">
      <w:pPr>
        <w:pStyle w:val="a4"/>
        <w:numPr>
          <w:ilvl w:val="0"/>
          <w:numId w:val="1"/>
        </w:numPr>
        <w:spacing w:after="16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>Կլոր երկհարկանի սրահ՝ +130մ … +140մ նիշեր</w:t>
      </w:r>
    </w:p>
    <w:p w14:paraId="3318E3EF" w14:textId="77777777" w:rsidR="00AF2D27" w:rsidRPr="00815A26" w:rsidRDefault="00AF2D27" w:rsidP="00AF2D27">
      <w:pPr>
        <w:spacing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lastRenderedPageBreak/>
        <w:t>Հեռուստաաշտարակի ընդհանուր տեսքի և հարթակների գծագրերը բերված են Հավելված 1-ում։</w:t>
      </w:r>
    </w:p>
    <w:p w14:paraId="5CED0590" w14:textId="77777777" w:rsidR="00AF2D27" w:rsidRPr="00815A26" w:rsidRDefault="00AF2D27" w:rsidP="00AF2D27">
      <w:pPr>
        <w:pStyle w:val="a4"/>
        <w:numPr>
          <w:ilvl w:val="0"/>
          <w:numId w:val="5"/>
        </w:numPr>
        <w:spacing w:after="160" w:line="360" w:lineRule="auto"/>
        <w:jc w:val="both"/>
        <w:rPr>
          <w:rFonts w:ascii="GHEA Grapalat" w:hAnsi="GHEA Grapalat"/>
          <w:b/>
          <w:bCs/>
          <w:sz w:val="18"/>
          <w:szCs w:val="18"/>
          <w:lang w:val="hy-AM"/>
        </w:rPr>
      </w:pPr>
      <w:r w:rsidRPr="00815A26">
        <w:rPr>
          <w:rFonts w:ascii="GHEA Grapalat" w:hAnsi="GHEA Grapalat"/>
          <w:b/>
          <w:bCs/>
          <w:sz w:val="18"/>
          <w:szCs w:val="18"/>
          <w:lang w:val="hy-AM"/>
        </w:rPr>
        <w:t>Հեռուստաաշտարակի գունային նկարագիրը</w:t>
      </w:r>
    </w:p>
    <w:p w14:paraId="0BFB58EE" w14:textId="77777777" w:rsidR="00AF2D27" w:rsidRPr="00815A26" w:rsidRDefault="00AF2D27" w:rsidP="00AF2D27">
      <w:pPr>
        <w:spacing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>Ցերեկային ժամերին հեռուստաաշտարակի տեսանելիությունն ապահովելու նպատակով այն մակնշված է իրար հաջորդող կարմիր և սպիտակ գույների հորզոնական շերտերով.</w:t>
      </w:r>
    </w:p>
    <w:p w14:paraId="448F605A" w14:textId="77777777" w:rsidR="00AF2D27" w:rsidRPr="00815A26" w:rsidRDefault="00AF2D27" w:rsidP="00AF2D27">
      <w:pPr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ab/>
        <w:t>0,0 - +71,0՝</w:t>
      </w:r>
      <w:r w:rsidRPr="00815A26">
        <w:rPr>
          <w:rFonts w:ascii="GHEA Grapalat" w:hAnsi="GHEA Grapalat"/>
          <w:sz w:val="18"/>
          <w:szCs w:val="18"/>
          <w:lang w:val="hy-AM"/>
        </w:rPr>
        <w:tab/>
        <w:t>կարմիր</w:t>
      </w:r>
    </w:p>
    <w:p w14:paraId="4B7037E2" w14:textId="77777777" w:rsidR="00AF2D27" w:rsidRPr="00815A26" w:rsidRDefault="00AF2D27" w:rsidP="00AF2D27">
      <w:pPr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ab/>
        <w:t>+71,0 - +95,0՝</w:t>
      </w:r>
      <w:r w:rsidRPr="00815A26">
        <w:rPr>
          <w:rFonts w:ascii="GHEA Grapalat" w:hAnsi="GHEA Grapalat"/>
          <w:sz w:val="18"/>
          <w:szCs w:val="18"/>
          <w:lang w:val="hy-AM"/>
        </w:rPr>
        <w:tab/>
        <w:t xml:space="preserve">սպիտակ </w:t>
      </w:r>
    </w:p>
    <w:p w14:paraId="2B1CB51D" w14:textId="77777777" w:rsidR="00AF2D27" w:rsidRPr="00815A26" w:rsidRDefault="00AF2D27" w:rsidP="00AF2D27">
      <w:pPr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ab/>
        <w:t>+95,0 - +131,0՝</w:t>
      </w:r>
      <w:r w:rsidRPr="00815A26">
        <w:rPr>
          <w:rFonts w:ascii="GHEA Grapalat" w:hAnsi="GHEA Grapalat"/>
          <w:sz w:val="18"/>
          <w:szCs w:val="18"/>
          <w:lang w:val="hy-AM"/>
        </w:rPr>
        <w:tab/>
        <w:t>կարմիր</w:t>
      </w:r>
    </w:p>
    <w:p w14:paraId="075CF57A" w14:textId="77777777" w:rsidR="00AF2D27" w:rsidRPr="00815A26" w:rsidRDefault="00AF2D27" w:rsidP="00AF2D27">
      <w:pPr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ab/>
        <w:t>+131,0 - +139,8՝</w:t>
      </w:r>
      <w:r w:rsidRPr="00815A26">
        <w:rPr>
          <w:rFonts w:ascii="GHEA Grapalat" w:hAnsi="GHEA Grapalat"/>
          <w:sz w:val="18"/>
          <w:szCs w:val="18"/>
          <w:lang w:val="hy-AM"/>
        </w:rPr>
        <w:tab/>
        <w:t>սպիտակ</w:t>
      </w:r>
    </w:p>
    <w:p w14:paraId="1441F7EE" w14:textId="77777777" w:rsidR="00AF2D27" w:rsidRPr="00815A26" w:rsidRDefault="00AF2D27" w:rsidP="00AF2D27">
      <w:pPr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ab/>
        <w:t>+139,8 - +173,0՝</w:t>
      </w:r>
      <w:r w:rsidRPr="00815A26">
        <w:rPr>
          <w:rFonts w:ascii="GHEA Grapalat" w:hAnsi="GHEA Grapalat"/>
          <w:sz w:val="18"/>
          <w:szCs w:val="18"/>
          <w:lang w:val="hy-AM"/>
        </w:rPr>
        <w:tab/>
        <w:t>կարմիր</w:t>
      </w:r>
    </w:p>
    <w:p w14:paraId="41D11830" w14:textId="77777777" w:rsidR="00AF2D27" w:rsidRPr="00815A26" w:rsidRDefault="00AF2D27" w:rsidP="00AF2D27">
      <w:pPr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ab/>
        <w:t>+173,0 - +199,0՝</w:t>
      </w:r>
      <w:r w:rsidRPr="00815A26">
        <w:rPr>
          <w:rFonts w:ascii="GHEA Grapalat" w:hAnsi="GHEA Grapalat"/>
          <w:sz w:val="18"/>
          <w:szCs w:val="18"/>
          <w:lang w:val="hy-AM"/>
        </w:rPr>
        <w:tab/>
        <w:t>սպիտակ</w:t>
      </w:r>
    </w:p>
    <w:p w14:paraId="0D99C228" w14:textId="77777777" w:rsidR="00AF2D27" w:rsidRPr="00815A26" w:rsidRDefault="00AF2D27" w:rsidP="00AF2D27">
      <w:pPr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ab/>
        <w:t>+199,0 - +222,0՝</w:t>
      </w:r>
      <w:r w:rsidRPr="00815A26">
        <w:rPr>
          <w:rFonts w:ascii="GHEA Grapalat" w:hAnsi="GHEA Grapalat"/>
          <w:sz w:val="18"/>
          <w:szCs w:val="18"/>
          <w:lang w:val="hy-AM"/>
        </w:rPr>
        <w:tab/>
        <w:t>կարմիր</w:t>
      </w:r>
    </w:p>
    <w:p w14:paraId="5EBA2E67" w14:textId="77777777" w:rsidR="00AF2D27" w:rsidRPr="00815A26" w:rsidRDefault="00AF2D27" w:rsidP="00AF2D27">
      <w:pPr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ab/>
        <w:t>+222,0 - +244,4՝</w:t>
      </w:r>
      <w:r w:rsidRPr="00815A26">
        <w:rPr>
          <w:rFonts w:ascii="GHEA Grapalat" w:hAnsi="GHEA Grapalat"/>
          <w:sz w:val="18"/>
          <w:szCs w:val="18"/>
          <w:lang w:val="hy-AM"/>
        </w:rPr>
        <w:tab/>
        <w:t>սպիտակ</w:t>
      </w:r>
    </w:p>
    <w:p w14:paraId="27931643" w14:textId="77777777" w:rsidR="00AF2D27" w:rsidRPr="00815A26" w:rsidRDefault="00AF2D27" w:rsidP="00AF2D27">
      <w:pPr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ab/>
        <w:t>+244,4 - +270,1՝</w:t>
      </w:r>
      <w:r w:rsidRPr="00815A26">
        <w:rPr>
          <w:rFonts w:ascii="GHEA Grapalat" w:hAnsi="GHEA Grapalat"/>
          <w:sz w:val="18"/>
          <w:szCs w:val="18"/>
          <w:lang w:val="hy-AM"/>
        </w:rPr>
        <w:tab/>
        <w:t>կարմիր</w:t>
      </w:r>
    </w:p>
    <w:p w14:paraId="50C9D0F2" w14:textId="77777777" w:rsidR="00AF2D27" w:rsidRPr="00815A26" w:rsidRDefault="00AF2D27" w:rsidP="00AF2D27">
      <w:pPr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ab/>
        <w:t>+270,1 - +287,0՝</w:t>
      </w:r>
      <w:r w:rsidRPr="00815A26">
        <w:rPr>
          <w:rFonts w:ascii="GHEA Grapalat" w:hAnsi="GHEA Grapalat"/>
          <w:sz w:val="18"/>
          <w:szCs w:val="18"/>
          <w:lang w:val="hy-AM"/>
        </w:rPr>
        <w:tab/>
        <w:t>սպիտակ</w:t>
      </w:r>
    </w:p>
    <w:p w14:paraId="6961AE20" w14:textId="77777777" w:rsidR="00AF2D27" w:rsidRPr="00815A26" w:rsidRDefault="00AF2D27" w:rsidP="00AF2D27">
      <w:pPr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ab/>
        <w:t>+287,0 - +306,3՝</w:t>
      </w:r>
      <w:r w:rsidRPr="00815A26">
        <w:rPr>
          <w:rFonts w:ascii="GHEA Grapalat" w:hAnsi="GHEA Grapalat"/>
          <w:sz w:val="18"/>
          <w:szCs w:val="18"/>
          <w:lang w:val="hy-AM"/>
        </w:rPr>
        <w:tab/>
        <w:t xml:space="preserve">կարմիր  </w:t>
      </w:r>
    </w:p>
    <w:p w14:paraId="6361F623" w14:textId="77777777" w:rsidR="00AF2D27" w:rsidRPr="00815A26" w:rsidRDefault="00AF2D27" w:rsidP="00AF2D27">
      <w:pPr>
        <w:spacing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>Գեղազարդ լուսավորման համակարգի տեխնիկական լուծումները մշակելիս անհրաժեշտ է հաշվի առնել կարմիր և սպիտակ գույներից լույսի անդրադարձման առանձնահատկությունները։</w:t>
      </w:r>
    </w:p>
    <w:p w14:paraId="402C87DD" w14:textId="77777777" w:rsidR="00AF2D27" w:rsidRPr="00815A26" w:rsidRDefault="00AF2D27" w:rsidP="00AF2D27">
      <w:pPr>
        <w:pStyle w:val="a4"/>
        <w:numPr>
          <w:ilvl w:val="0"/>
          <w:numId w:val="5"/>
        </w:numPr>
        <w:spacing w:after="160" w:line="360" w:lineRule="auto"/>
        <w:jc w:val="both"/>
        <w:rPr>
          <w:rFonts w:ascii="GHEA Grapalat" w:hAnsi="GHEA Grapalat"/>
          <w:b/>
          <w:bCs/>
          <w:sz w:val="18"/>
          <w:szCs w:val="18"/>
          <w:lang w:val="hy-AM"/>
        </w:rPr>
      </w:pPr>
      <w:r w:rsidRPr="00815A26">
        <w:rPr>
          <w:rFonts w:ascii="GHEA Grapalat" w:hAnsi="GHEA Grapalat"/>
          <w:b/>
          <w:bCs/>
          <w:sz w:val="18"/>
          <w:szCs w:val="18"/>
          <w:lang w:val="hy-AM"/>
        </w:rPr>
        <w:t>Գեղազարդ լուսավորման համակարգի հնարավորությունները</w:t>
      </w:r>
    </w:p>
    <w:p w14:paraId="0764F963" w14:textId="77777777" w:rsidR="00AF2D27" w:rsidRPr="00815A26" w:rsidRDefault="00AF2D27" w:rsidP="00AF2D27">
      <w:pPr>
        <w:spacing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>Երևանի հեռուստաաշտարակի գեղազարդ լուսավորման համակարգը պետք է ունենա առնվազն հետևյալ հնարավորությունները.</w:t>
      </w:r>
    </w:p>
    <w:p w14:paraId="47C0051C" w14:textId="77777777" w:rsidR="00AF2D27" w:rsidRPr="00815A26" w:rsidRDefault="00AF2D27" w:rsidP="00AF2D27">
      <w:pPr>
        <w:pStyle w:val="a4"/>
        <w:numPr>
          <w:ilvl w:val="0"/>
          <w:numId w:val="2"/>
        </w:numPr>
        <w:spacing w:after="16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>լուսավորում ստատիկ գունային երանգներով</w:t>
      </w:r>
    </w:p>
    <w:p w14:paraId="2C90DB37" w14:textId="77777777" w:rsidR="00AF2D27" w:rsidRPr="00815A26" w:rsidRDefault="00AF2D27" w:rsidP="00AF2D27">
      <w:pPr>
        <w:pStyle w:val="a4"/>
        <w:numPr>
          <w:ilvl w:val="0"/>
          <w:numId w:val="2"/>
        </w:numPr>
        <w:spacing w:after="16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>լուսավորում դինամիկ փոփոխվող գունային երանգներով</w:t>
      </w:r>
    </w:p>
    <w:p w14:paraId="4C3690DD" w14:textId="77777777" w:rsidR="00AF2D27" w:rsidRPr="00815A26" w:rsidRDefault="00AF2D27" w:rsidP="00AF2D27">
      <w:pPr>
        <w:pStyle w:val="a4"/>
        <w:numPr>
          <w:ilvl w:val="0"/>
          <w:numId w:val="2"/>
        </w:numPr>
        <w:spacing w:after="16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>լուսավորում տարբեր երկրների պետական դրոշների գունային երանգներով՝ ինչպես հորիզոնական, այնպես էլ ուղղահայաց շերտերով</w:t>
      </w:r>
    </w:p>
    <w:p w14:paraId="64605DDA" w14:textId="77777777" w:rsidR="00AF2D27" w:rsidRPr="00815A26" w:rsidRDefault="00AF2D27" w:rsidP="00AF2D27">
      <w:pPr>
        <w:pStyle w:val="a4"/>
        <w:numPr>
          <w:ilvl w:val="0"/>
          <w:numId w:val="2"/>
        </w:numPr>
        <w:spacing w:after="16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>ղեկավարման և մոնիթորինգի հանգույցի մուտքին տրվող երաժշտության տակտերով փոփոխվող դինամիկ լուսավորում (օրինակ, հանրապետության հրապարակի «երգող» շատրվանների երաժշտություն, ՀՀ օրհներգ և այլն)</w:t>
      </w:r>
    </w:p>
    <w:p w14:paraId="5FFD5FCA" w14:textId="77777777" w:rsidR="00AF2D27" w:rsidRPr="00815A26" w:rsidRDefault="00AF2D27" w:rsidP="00AF2D27">
      <w:pPr>
        <w:pStyle w:val="a4"/>
        <w:numPr>
          <w:ilvl w:val="0"/>
          <w:numId w:val="2"/>
        </w:numPr>
        <w:spacing w:after="16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>կարևոր իրադարձությունների ժամանակ (օրինակ, Ամանոր, հրավառություն, սպորտային իրադարձություններ և այլն) ակնթարթային տոնական դինամիկ լուսավորում։</w:t>
      </w:r>
    </w:p>
    <w:p w14:paraId="1650C24B" w14:textId="77777777" w:rsidR="00AF2D27" w:rsidRPr="00815A26" w:rsidRDefault="00AF2D27" w:rsidP="00AF2D27">
      <w:pPr>
        <w:pStyle w:val="a4"/>
        <w:numPr>
          <w:ilvl w:val="0"/>
          <w:numId w:val="2"/>
        </w:numPr>
        <w:spacing w:after="16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>պետք է պարունակի ճառագայթային լուսատուներ</w:t>
      </w:r>
    </w:p>
    <w:p w14:paraId="333A7F07" w14:textId="77777777" w:rsidR="00AF2D27" w:rsidRPr="00815A26" w:rsidRDefault="00AF2D27" w:rsidP="00AF2D27">
      <w:pPr>
        <w:pStyle w:val="a4"/>
        <w:numPr>
          <w:ilvl w:val="0"/>
          <w:numId w:val="5"/>
        </w:numPr>
        <w:spacing w:after="160" w:line="360" w:lineRule="auto"/>
        <w:jc w:val="both"/>
        <w:rPr>
          <w:rFonts w:ascii="GHEA Grapalat" w:hAnsi="GHEA Grapalat"/>
          <w:b/>
          <w:bCs/>
          <w:sz w:val="18"/>
          <w:szCs w:val="18"/>
          <w:lang w:val="hy-AM"/>
        </w:rPr>
      </w:pPr>
      <w:r w:rsidRPr="00815A26">
        <w:rPr>
          <w:rFonts w:ascii="GHEA Grapalat" w:hAnsi="GHEA Grapalat"/>
          <w:b/>
          <w:bCs/>
          <w:sz w:val="18"/>
          <w:szCs w:val="18"/>
          <w:lang w:val="hy-AM"/>
        </w:rPr>
        <w:t>Երաշխիքային և ետերաշխիքային սպասարկում</w:t>
      </w:r>
    </w:p>
    <w:p w14:paraId="662809D4" w14:textId="77777777" w:rsidR="00AF2D27" w:rsidRDefault="00AF2D27" w:rsidP="00AF2D27">
      <w:pPr>
        <w:spacing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lastRenderedPageBreak/>
        <w:t>Երևանի հեռուստաաշտարակի գեղազարդ լուսավորման համակարգը պետք է ունենա առնվազն 3 տարվա երաշխիքային, որի ավարտից հետո ևս 7 տարվա ետերաշխիքային սպասարկում։ Երաշխիքային և ետերաշխիքային սպասարկման պայմանները կսահմանվեն առանձին պայմանագրով կամ համաձայնագրով։</w:t>
      </w:r>
    </w:p>
    <w:p w14:paraId="290E0580" w14:textId="77777777" w:rsidR="00AF2D27" w:rsidRDefault="00AF2D27" w:rsidP="00AF2D27">
      <w:pPr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br w:type="page"/>
      </w:r>
    </w:p>
    <w:p w14:paraId="19F5C02A" w14:textId="77777777" w:rsidR="00AF2D27" w:rsidRPr="00815A26" w:rsidRDefault="00AF2D27" w:rsidP="00AF2D27">
      <w:pPr>
        <w:spacing w:line="360" w:lineRule="auto"/>
        <w:jc w:val="both"/>
        <w:rPr>
          <w:rFonts w:ascii="GHEA Grapalat" w:hAnsi="GHEA Grapalat"/>
          <w:sz w:val="18"/>
          <w:szCs w:val="18"/>
          <w:lang w:val="hy-AM"/>
        </w:rPr>
      </w:pPr>
    </w:p>
    <w:p w14:paraId="03D9DBBC" w14:textId="77777777" w:rsidR="00AF2D27" w:rsidRPr="00815A26" w:rsidRDefault="00AF2D27" w:rsidP="00AF2D27">
      <w:pPr>
        <w:pStyle w:val="a4"/>
        <w:numPr>
          <w:ilvl w:val="0"/>
          <w:numId w:val="5"/>
        </w:numPr>
        <w:spacing w:after="160" w:line="360" w:lineRule="auto"/>
        <w:jc w:val="both"/>
        <w:rPr>
          <w:rFonts w:ascii="GHEA Grapalat" w:hAnsi="GHEA Grapalat"/>
          <w:b/>
          <w:bCs/>
          <w:sz w:val="18"/>
          <w:szCs w:val="18"/>
          <w:lang w:val="hy-AM"/>
        </w:rPr>
      </w:pPr>
      <w:r w:rsidRPr="00815A26">
        <w:rPr>
          <w:rFonts w:ascii="GHEA Grapalat" w:hAnsi="GHEA Grapalat"/>
          <w:b/>
          <w:bCs/>
          <w:sz w:val="18"/>
          <w:szCs w:val="18"/>
          <w:lang w:val="hy-AM"/>
        </w:rPr>
        <w:t>Ուսուցում</w:t>
      </w:r>
    </w:p>
    <w:p w14:paraId="57CF71EB" w14:textId="77777777" w:rsidR="00AF2D27" w:rsidRPr="00815A26" w:rsidRDefault="00AF2D27" w:rsidP="00AF2D27">
      <w:pPr>
        <w:spacing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>Գեղազարդ լուսավորման համակարգի շահագործումն իրականացնելու նպատակով պետք է իրականացվի «Հայաստանի հեռուստատեսային և ռադիոհաղորդիչ ցանց» ՓԲ ընկերության մասնագետների պատշաճ ուսուցում հետևյալ ուղղություններով.</w:t>
      </w:r>
    </w:p>
    <w:p w14:paraId="4C522E2B" w14:textId="77777777" w:rsidR="00AF2D27" w:rsidRPr="00815A26" w:rsidRDefault="00AF2D27" w:rsidP="00AF2D27">
      <w:pPr>
        <w:pStyle w:val="a4"/>
        <w:numPr>
          <w:ilvl w:val="0"/>
          <w:numId w:val="3"/>
        </w:numPr>
        <w:spacing w:after="16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>Գունային սցենարների ծրագրավորման ծրագրային ապահովման հետ աշխատանք՝ թվով 3 մասնագետ</w:t>
      </w:r>
    </w:p>
    <w:p w14:paraId="07C213BF" w14:textId="77777777" w:rsidR="00AF2D27" w:rsidRPr="00815A26" w:rsidRDefault="00AF2D27" w:rsidP="00AF2D27">
      <w:pPr>
        <w:pStyle w:val="a4"/>
        <w:numPr>
          <w:ilvl w:val="0"/>
          <w:numId w:val="3"/>
        </w:numPr>
        <w:spacing w:after="16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>Լուսարձակների և դրանց ղեկավարման մալուխային տրակտի սպասարկում և շահագործում՝ թվով 2 մասնագետ</w:t>
      </w:r>
    </w:p>
    <w:p w14:paraId="3B7C3DFC" w14:textId="77777777" w:rsidR="00AF2D27" w:rsidRPr="00815A26" w:rsidRDefault="00AF2D27" w:rsidP="00AF2D27">
      <w:pPr>
        <w:pStyle w:val="a4"/>
        <w:numPr>
          <w:ilvl w:val="0"/>
          <w:numId w:val="3"/>
        </w:numPr>
        <w:spacing w:after="16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>Չափիչ սարքավորումների և գործիքների հետ աշխատանքի հմտություններ՝ թվով 2 մասնագետ</w:t>
      </w:r>
    </w:p>
    <w:p w14:paraId="2862BDD9" w14:textId="77777777" w:rsidR="00AF2D27" w:rsidRPr="00815A26" w:rsidRDefault="00AF2D27" w:rsidP="00AF2D27">
      <w:pPr>
        <w:spacing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>Ուսուցման արդյունքերը պետք է փաստվեն տրվող համապատասխան վկայականներով և հավաստագրերով։</w:t>
      </w:r>
    </w:p>
    <w:p w14:paraId="6F19E461" w14:textId="77777777" w:rsidR="00AF2D27" w:rsidRPr="00815A26" w:rsidRDefault="00AF2D27" w:rsidP="00AF2D27">
      <w:pPr>
        <w:pStyle w:val="a4"/>
        <w:numPr>
          <w:ilvl w:val="0"/>
          <w:numId w:val="5"/>
        </w:numPr>
        <w:spacing w:after="160" w:line="360" w:lineRule="auto"/>
        <w:jc w:val="both"/>
        <w:rPr>
          <w:rFonts w:ascii="GHEA Grapalat" w:hAnsi="GHEA Grapalat"/>
          <w:b/>
          <w:bCs/>
          <w:sz w:val="18"/>
          <w:szCs w:val="18"/>
          <w:lang w:val="hy-AM"/>
        </w:rPr>
      </w:pPr>
      <w:r w:rsidRPr="00815A26">
        <w:rPr>
          <w:rFonts w:ascii="GHEA Grapalat" w:hAnsi="GHEA Grapalat"/>
          <w:b/>
          <w:bCs/>
          <w:sz w:val="18"/>
          <w:szCs w:val="18"/>
          <w:lang w:val="hy-AM"/>
        </w:rPr>
        <w:t xml:space="preserve">Առաջարկությունների ներկայացման կարգը </w:t>
      </w:r>
    </w:p>
    <w:p w14:paraId="4F5B4011" w14:textId="77777777" w:rsidR="00AF2D27" w:rsidRPr="00815A26" w:rsidRDefault="00AF2D27" w:rsidP="00AF2D27">
      <w:pPr>
        <w:spacing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815A26">
        <w:rPr>
          <w:rFonts w:ascii="GHEA Grapalat" w:hAnsi="GHEA Grapalat"/>
          <w:sz w:val="18"/>
          <w:szCs w:val="18"/>
          <w:lang w:val="hy-AM"/>
        </w:rPr>
        <w:t>Երևանի հեռուստաաշտարակի գեղազարդ լուսավորման համակարգի տեղադրման տեխնիկա-տնտեսական առաջարկությունները պետք է ներկայացվեն հայերեն կամ անգլերեն լեզուներով և պարունակեն հետևյալ տվյալները.</w:t>
      </w:r>
    </w:p>
    <w:p w14:paraId="7AB5BC7D" w14:textId="77777777" w:rsidR="00AF2D27" w:rsidRPr="001E4E54" w:rsidRDefault="00AF2D27" w:rsidP="00AF2D27">
      <w:pPr>
        <w:pStyle w:val="a4"/>
        <w:numPr>
          <w:ilvl w:val="0"/>
          <w:numId w:val="4"/>
        </w:numPr>
        <w:spacing w:after="16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1E4E54">
        <w:rPr>
          <w:rFonts w:ascii="GHEA Grapalat" w:hAnsi="GHEA Grapalat"/>
          <w:sz w:val="18"/>
          <w:szCs w:val="18"/>
          <w:lang w:val="hy-AM"/>
        </w:rPr>
        <w:t>Համակարգի ընդհանուր բնութագիր</w:t>
      </w:r>
    </w:p>
    <w:p w14:paraId="290D1254" w14:textId="77777777" w:rsidR="00AF2D27" w:rsidRPr="001E4E54" w:rsidRDefault="00AF2D27" w:rsidP="00AF2D27">
      <w:pPr>
        <w:pStyle w:val="a4"/>
        <w:numPr>
          <w:ilvl w:val="0"/>
          <w:numId w:val="4"/>
        </w:numPr>
        <w:spacing w:after="16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1E4E54">
        <w:rPr>
          <w:rFonts w:ascii="GHEA Grapalat" w:hAnsi="GHEA Grapalat"/>
          <w:sz w:val="18"/>
          <w:szCs w:val="18"/>
          <w:lang w:val="hy-AM"/>
        </w:rPr>
        <w:t>Համակարգի տարրերի տեխնիկական բնութագրեր</w:t>
      </w:r>
    </w:p>
    <w:p w14:paraId="7584F15C" w14:textId="77777777" w:rsidR="00AF2D27" w:rsidRPr="001E4E54" w:rsidRDefault="00AF2D27" w:rsidP="00AF2D27">
      <w:pPr>
        <w:pStyle w:val="a4"/>
        <w:numPr>
          <w:ilvl w:val="0"/>
          <w:numId w:val="4"/>
        </w:numPr>
        <w:spacing w:after="16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1E4E54">
        <w:rPr>
          <w:rFonts w:ascii="GHEA Grapalat" w:hAnsi="GHEA Grapalat"/>
          <w:sz w:val="18"/>
          <w:szCs w:val="18"/>
          <w:lang w:val="hy-AM"/>
        </w:rPr>
        <w:t>DiaLUX կամ այլ եռաչափ մոդելավորման ծրագրով հեռուստաաշտարակի եռաչափ մոդելի վրա տեղադրված լուսարձակներ</w:t>
      </w:r>
    </w:p>
    <w:p w14:paraId="082C5641" w14:textId="77777777" w:rsidR="00AF2D27" w:rsidRPr="001E4E54" w:rsidRDefault="00AF2D27" w:rsidP="00AF2D27">
      <w:pPr>
        <w:pStyle w:val="a4"/>
        <w:numPr>
          <w:ilvl w:val="0"/>
          <w:numId w:val="4"/>
        </w:numPr>
        <w:spacing w:after="16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1E4E54">
        <w:rPr>
          <w:rFonts w:ascii="GHEA Grapalat" w:hAnsi="GHEA Grapalat"/>
          <w:sz w:val="18"/>
          <w:szCs w:val="18"/>
          <w:lang w:val="hy-AM"/>
        </w:rPr>
        <w:t>Գունային առնվազն 3 սցենարների համակարգչային եռաչափ մոդել</w:t>
      </w:r>
    </w:p>
    <w:p w14:paraId="27F5AA98" w14:textId="77777777" w:rsidR="00AF2D27" w:rsidRPr="001E4E54" w:rsidRDefault="00AF2D27" w:rsidP="00AF2D27">
      <w:pPr>
        <w:pStyle w:val="a4"/>
        <w:numPr>
          <w:ilvl w:val="0"/>
          <w:numId w:val="4"/>
        </w:numPr>
        <w:spacing w:after="16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1E4E54">
        <w:rPr>
          <w:rFonts w:ascii="GHEA Grapalat" w:hAnsi="GHEA Grapalat"/>
          <w:sz w:val="18"/>
          <w:szCs w:val="18"/>
          <w:lang w:val="hy-AM"/>
        </w:rPr>
        <w:t>Համակարգի ծրագրային ապահովման տեխնիկական բնութագիր</w:t>
      </w:r>
    </w:p>
    <w:p w14:paraId="169E5ECA" w14:textId="77777777" w:rsidR="00AF2D27" w:rsidRPr="001E4E54" w:rsidRDefault="00AF2D27" w:rsidP="00AF2D27">
      <w:pPr>
        <w:pStyle w:val="a4"/>
        <w:numPr>
          <w:ilvl w:val="0"/>
          <w:numId w:val="4"/>
        </w:numPr>
        <w:spacing w:after="16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1E4E54">
        <w:rPr>
          <w:rFonts w:ascii="GHEA Grapalat" w:hAnsi="GHEA Grapalat"/>
          <w:sz w:val="18"/>
          <w:szCs w:val="18"/>
          <w:lang w:val="hy-AM"/>
        </w:rPr>
        <w:t>Հեռուստաաշտարակի լուսավորվածության հաշվարկներ՝ ըստ հեռուստաաշտարակի առանձին հատվածների</w:t>
      </w:r>
    </w:p>
    <w:p w14:paraId="54A72F7E" w14:textId="77777777" w:rsidR="00AF2D27" w:rsidRPr="00F50DCE" w:rsidRDefault="00AF2D27" w:rsidP="00AF2D27">
      <w:pPr>
        <w:pStyle w:val="a4"/>
        <w:numPr>
          <w:ilvl w:val="0"/>
          <w:numId w:val="4"/>
        </w:numPr>
        <w:spacing w:after="16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F50DCE">
        <w:rPr>
          <w:rFonts w:ascii="GHEA Grapalat" w:hAnsi="GHEA Grapalat"/>
          <w:sz w:val="18"/>
          <w:szCs w:val="18"/>
          <w:lang w:val="hy-AM"/>
        </w:rPr>
        <w:t>Լուսարձակների և ղեկավարման մալուխների տիպերի ընտրության հաշվարկային հիմնավորումներ</w:t>
      </w:r>
    </w:p>
    <w:p w14:paraId="2CD5D2E3" w14:textId="77777777" w:rsidR="00AF2D27" w:rsidRDefault="00AF2D27" w:rsidP="00AF2D27">
      <w:pPr>
        <w:pStyle w:val="a4"/>
        <w:numPr>
          <w:ilvl w:val="0"/>
          <w:numId w:val="4"/>
        </w:numPr>
        <w:jc w:val="both"/>
        <w:rPr>
          <w:rFonts w:ascii="GHEA Grapalat" w:hAnsi="GHEA Grapalat"/>
          <w:sz w:val="18"/>
          <w:szCs w:val="18"/>
          <w:lang w:val="hy-AM"/>
        </w:rPr>
      </w:pPr>
      <w:r w:rsidRPr="00F50DCE">
        <w:rPr>
          <w:rFonts w:ascii="GHEA Grapalat" w:hAnsi="GHEA Grapalat"/>
          <w:sz w:val="18"/>
          <w:szCs w:val="18"/>
          <w:lang w:val="hy-AM"/>
        </w:rPr>
        <w:t xml:space="preserve">մասնակիցը պետք է  բավարարի «Գնումների մասին» ՀՀ օրենքի 6-րդ հոդվածի 3-րդ մասի 1-ին կետով սահմանված «Մասնագիտական գործունեության համապատասխանություն պայմանագրով նախատեսված գործունեությանը» որակավորման չափանիշին: </w:t>
      </w:r>
    </w:p>
    <w:p w14:paraId="22080756" w14:textId="77777777" w:rsidR="00AF2D27" w:rsidRPr="00F50DCE" w:rsidRDefault="00AF2D27" w:rsidP="00AF2D27">
      <w:pPr>
        <w:ind w:left="432"/>
        <w:jc w:val="both"/>
        <w:rPr>
          <w:rFonts w:ascii="GHEA Grapalat" w:hAnsi="GHEA Grapalat"/>
          <w:b/>
          <w:bCs/>
          <w:sz w:val="18"/>
          <w:szCs w:val="18"/>
          <w:lang w:val="hy-AM"/>
        </w:rPr>
      </w:pPr>
      <w:r w:rsidRPr="00F50DCE">
        <w:rPr>
          <w:rFonts w:ascii="GHEA Grapalat" w:hAnsi="GHEA Grapalat"/>
          <w:b/>
          <w:bCs/>
          <w:sz w:val="18"/>
          <w:szCs w:val="18"/>
          <w:lang w:val="hy-AM"/>
        </w:rPr>
        <w:t xml:space="preserve">Ընդ որում համանման են համարվում հայտը ներկայացնելու տարվա և դրան </w:t>
      </w:r>
      <w:r w:rsidRPr="00F370BD">
        <w:rPr>
          <w:rFonts w:ascii="GHEA Grapalat" w:hAnsi="GHEA Grapalat"/>
          <w:b/>
          <w:bCs/>
          <w:sz w:val="18"/>
          <w:szCs w:val="18"/>
          <w:highlight w:val="yellow"/>
          <w:lang w:val="hy-AM"/>
        </w:rPr>
        <w:t>նախորդող երեք տարիների</w:t>
      </w:r>
      <w:r w:rsidRPr="00F50DCE">
        <w:rPr>
          <w:rFonts w:ascii="GHEA Grapalat" w:hAnsi="GHEA Grapalat"/>
          <w:b/>
          <w:bCs/>
          <w:sz w:val="18"/>
          <w:szCs w:val="18"/>
          <w:lang w:val="hy-AM"/>
        </w:rPr>
        <w:t xml:space="preserve"> ընթացքում խոշոր հասարակական և արտադրական տարածքներում արտաքին և ներքին ճարտարապետական լուսավորության սարքերի տեղադրման աշխատանքների իրականացումը: </w:t>
      </w:r>
    </w:p>
    <w:p w14:paraId="290E42EA" w14:textId="77777777" w:rsidR="00AF2D27" w:rsidRPr="00864A27" w:rsidRDefault="00AF2D27" w:rsidP="00AF2D27">
      <w:pPr>
        <w:pStyle w:val="a3"/>
        <w:rPr>
          <w:rFonts w:ascii="GHEA Grapalat" w:hAnsi="GHEA Grapalat"/>
          <w:sz w:val="20"/>
          <w:szCs w:val="20"/>
          <w:lang w:val="pt-BR"/>
        </w:rPr>
      </w:pPr>
    </w:p>
    <w:p w14:paraId="2329C83A" w14:textId="77777777" w:rsidR="00AF2D27" w:rsidRPr="00864A27" w:rsidRDefault="00AF2D27" w:rsidP="00AF2D27">
      <w:pPr>
        <w:pStyle w:val="a3"/>
        <w:rPr>
          <w:rFonts w:ascii="GHEA Grapalat" w:hAnsi="GHEA Grapalat"/>
          <w:sz w:val="20"/>
          <w:szCs w:val="20"/>
          <w:lang w:val="hy-AM"/>
        </w:rPr>
      </w:pPr>
    </w:p>
    <w:p w14:paraId="14F31BE9" w14:textId="77777777" w:rsidR="00AF2D27" w:rsidRPr="00B677A9" w:rsidRDefault="00AF2D27" w:rsidP="00AF2D27">
      <w:pPr>
        <w:pStyle w:val="a3"/>
        <w:rPr>
          <w:rFonts w:ascii="GHEA Grapalat" w:hAnsi="GHEA Grapalat"/>
          <w:sz w:val="20"/>
          <w:szCs w:val="20"/>
          <w:lang w:val="af-ZA"/>
        </w:rPr>
      </w:pPr>
      <w:r w:rsidRPr="00864A27">
        <w:rPr>
          <w:rFonts w:ascii="GHEA Grapalat" w:hAnsi="GHEA Grapalat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sz w:val="20"/>
          <w:szCs w:val="20"/>
          <w:lang w:val="af-ZA"/>
        </w:rPr>
        <w:tab/>
      </w:r>
      <w:r w:rsidRPr="00864A27">
        <w:rPr>
          <w:rFonts w:ascii="GHEA Grapalat" w:hAnsi="GHEA Grapalat"/>
          <w:sz w:val="20"/>
          <w:szCs w:val="20"/>
          <w:lang w:val="af-ZA"/>
        </w:rPr>
        <w:t xml:space="preserve">  </w:t>
      </w:r>
      <w:r w:rsidRPr="00864A27">
        <w:rPr>
          <w:rFonts w:ascii="GHEA Grapalat" w:hAnsi="GHEA Grapalat"/>
          <w:sz w:val="20"/>
          <w:szCs w:val="20"/>
          <w:lang w:val="hy-AM"/>
        </w:rPr>
        <w:t>Պատասխանատու</w:t>
      </w:r>
      <w:r w:rsidRPr="00864A27">
        <w:rPr>
          <w:rFonts w:ascii="GHEA Grapalat" w:hAnsi="GHEA Grapalat" w:cs="Arial"/>
          <w:sz w:val="20"/>
          <w:szCs w:val="20"/>
          <w:lang w:val="hy-AM"/>
        </w:rPr>
        <w:t xml:space="preserve">  </w:t>
      </w:r>
      <w:r w:rsidRPr="00864A27">
        <w:rPr>
          <w:rFonts w:ascii="GHEA Grapalat" w:hAnsi="GHEA Grapalat"/>
          <w:sz w:val="20"/>
          <w:szCs w:val="20"/>
          <w:lang w:val="hy-AM"/>
        </w:rPr>
        <w:t>ստորաբաժանման</w:t>
      </w:r>
      <w:r w:rsidRPr="00864A27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64A27">
        <w:rPr>
          <w:rFonts w:ascii="GHEA Grapalat" w:hAnsi="GHEA Grapalat" w:cs="Arial"/>
          <w:sz w:val="20"/>
          <w:szCs w:val="20"/>
          <w:lang w:val="hy-AM"/>
        </w:rPr>
        <w:t>ղ</w:t>
      </w:r>
      <w:r w:rsidRPr="00864A27">
        <w:rPr>
          <w:rFonts w:ascii="GHEA Grapalat" w:hAnsi="GHEA Grapalat"/>
          <w:sz w:val="20"/>
          <w:szCs w:val="20"/>
          <w:lang w:val="hy-AM"/>
        </w:rPr>
        <w:t>եկավար</w:t>
      </w:r>
      <w:r w:rsidRPr="00864A27">
        <w:rPr>
          <w:rFonts w:ascii="GHEA Grapalat" w:hAnsi="GHEA Grapalat"/>
          <w:sz w:val="20"/>
          <w:szCs w:val="20"/>
          <w:lang w:val="pt-BR"/>
        </w:rPr>
        <w:t xml:space="preserve"> </w:t>
      </w:r>
      <w:r w:rsidRPr="00864A27">
        <w:rPr>
          <w:rFonts w:ascii="GHEA Grapalat" w:hAnsi="GHEA Grapalat" w:cs="Arial"/>
          <w:sz w:val="20"/>
          <w:szCs w:val="20"/>
          <w:lang w:val="af-ZA"/>
        </w:rPr>
        <w:t xml:space="preserve">  </w:t>
      </w:r>
      <w:r w:rsidRPr="00864A27">
        <w:rPr>
          <w:rFonts w:ascii="GHEA Grapalat" w:hAnsi="GHEA Grapalat"/>
          <w:sz w:val="20"/>
          <w:szCs w:val="20"/>
          <w:lang w:val="af-ZA"/>
        </w:rPr>
        <w:t>________</w:t>
      </w:r>
      <w:r w:rsidRPr="00864A27">
        <w:rPr>
          <w:rFonts w:ascii="GHEA Grapalat" w:hAnsi="GHEA Grapalat"/>
          <w:sz w:val="20"/>
          <w:szCs w:val="20"/>
          <w:lang w:val="pt-BR"/>
        </w:rPr>
        <w:t xml:space="preserve">______________ </w:t>
      </w:r>
      <w:r>
        <w:rPr>
          <w:rFonts w:ascii="GHEA Grapalat" w:hAnsi="GHEA Grapalat"/>
          <w:sz w:val="20"/>
          <w:szCs w:val="20"/>
        </w:rPr>
        <w:t>Ս</w:t>
      </w:r>
      <w:r w:rsidRPr="00B677A9">
        <w:rPr>
          <w:rFonts w:ascii="GHEA Grapalat" w:hAnsi="GHEA Grapalat"/>
          <w:sz w:val="20"/>
          <w:szCs w:val="20"/>
          <w:lang w:val="af-ZA"/>
        </w:rPr>
        <w:t xml:space="preserve">. </w:t>
      </w:r>
      <w:proofErr w:type="spellStart"/>
      <w:r>
        <w:rPr>
          <w:rFonts w:ascii="GHEA Grapalat" w:hAnsi="GHEA Grapalat"/>
          <w:sz w:val="20"/>
          <w:szCs w:val="20"/>
        </w:rPr>
        <w:t>Քոչարյան</w:t>
      </w:r>
      <w:proofErr w:type="spellEnd"/>
    </w:p>
    <w:p w14:paraId="4D826E05" w14:textId="77777777" w:rsidR="00AF2D27" w:rsidRPr="00864A27" w:rsidRDefault="00AF2D27" w:rsidP="00AF2D27">
      <w:pPr>
        <w:pStyle w:val="a3"/>
        <w:rPr>
          <w:rFonts w:ascii="GHEA Grapalat" w:hAnsi="GHEA Grapalat" w:cs="Arial"/>
          <w:sz w:val="20"/>
          <w:szCs w:val="20"/>
          <w:vertAlign w:val="superscript"/>
          <w:lang w:val="pt-BR"/>
        </w:rPr>
      </w:pPr>
      <w:r w:rsidRPr="00864A27">
        <w:rPr>
          <w:rFonts w:ascii="GHEA Grapalat" w:hAnsi="GHEA Grapalat"/>
          <w:sz w:val="20"/>
          <w:szCs w:val="20"/>
          <w:lang w:val="af-ZA"/>
        </w:rPr>
        <w:t xml:space="preserve">  </w:t>
      </w:r>
      <w:r w:rsidRPr="00864A27">
        <w:rPr>
          <w:rFonts w:ascii="GHEA Grapalat" w:hAnsi="GHEA Grapalat"/>
          <w:sz w:val="20"/>
          <w:szCs w:val="20"/>
          <w:lang w:val="pt-BR"/>
        </w:rPr>
        <w:tab/>
        <w:t xml:space="preserve">    </w:t>
      </w:r>
      <w:r w:rsidRPr="00864A27">
        <w:rPr>
          <w:rFonts w:ascii="GHEA Grapalat" w:hAnsi="GHEA Grapalat"/>
          <w:sz w:val="20"/>
          <w:szCs w:val="20"/>
          <w:lang w:val="pt-BR"/>
        </w:rPr>
        <w:tab/>
        <w:t xml:space="preserve"> </w:t>
      </w:r>
      <w:r w:rsidRPr="00864A27">
        <w:rPr>
          <w:rFonts w:ascii="GHEA Grapalat" w:hAnsi="GHEA Grapalat"/>
          <w:sz w:val="20"/>
          <w:szCs w:val="20"/>
          <w:lang w:val="af-ZA"/>
        </w:rPr>
        <w:tab/>
      </w:r>
      <w:r w:rsidRPr="00864A27">
        <w:rPr>
          <w:rFonts w:ascii="GHEA Grapalat" w:hAnsi="GHEA Grapalat"/>
          <w:sz w:val="20"/>
          <w:szCs w:val="20"/>
          <w:lang w:val="af-ZA"/>
        </w:rPr>
        <w:tab/>
      </w:r>
      <w:r w:rsidRPr="00864A27">
        <w:rPr>
          <w:rFonts w:ascii="GHEA Grapalat" w:hAnsi="GHEA Grapalat"/>
          <w:sz w:val="20"/>
          <w:szCs w:val="20"/>
          <w:lang w:val="af-ZA"/>
        </w:rPr>
        <w:tab/>
        <w:t xml:space="preserve">            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   </w:t>
      </w:r>
      <w:r w:rsidRPr="00864A27">
        <w:rPr>
          <w:rFonts w:ascii="GHEA Grapalat" w:hAnsi="GHEA Grapalat"/>
          <w:sz w:val="20"/>
          <w:szCs w:val="20"/>
          <w:lang w:val="af-ZA"/>
        </w:rPr>
        <w:t xml:space="preserve">  </w:t>
      </w:r>
      <w:r w:rsidRPr="00864A27">
        <w:rPr>
          <w:rFonts w:ascii="GHEA Grapalat" w:hAnsi="GHEA Grapalat"/>
          <w:sz w:val="20"/>
          <w:szCs w:val="20"/>
          <w:vertAlign w:val="superscript"/>
          <w:lang w:val="pt-BR"/>
        </w:rPr>
        <w:t>/ստորագրություն</w:t>
      </w:r>
      <w:r w:rsidRPr="00864A27">
        <w:rPr>
          <w:rFonts w:ascii="GHEA Grapalat" w:hAnsi="GHEA Grapalat" w:cs="Arial"/>
          <w:sz w:val="20"/>
          <w:szCs w:val="20"/>
          <w:vertAlign w:val="superscript"/>
          <w:lang w:val="pt-BR"/>
        </w:rPr>
        <w:t>/</w:t>
      </w:r>
    </w:p>
    <w:p w14:paraId="1FC38E62" w14:textId="77777777" w:rsidR="00AF2D27" w:rsidRPr="00864A27" w:rsidRDefault="00AF2D27" w:rsidP="00AF2D27">
      <w:pPr>
        <w:pStyle w:val="a3"/>
        <w:rPr>
          <w:rFonts w:ascii="GHEA Grapalat" w:hAnsi="GHEA Grapalat"/>
          <w:sz w:val="20"/>
          <w:szCs w:val="20"/>
          <w:lang w:val="hy-AM"/>
        </w:rPr>
      </w:pPr>
    </w:p>
    <w:p w14:paraId="2C3A13E7" w14:textId="77777777" w:rsidR="00AF2D27" w:rsidRPr="00864A27" w:rsidRDefault="00AF2D27" w:rsidP="00AF2D27">
      <w:pPr>
        <w:pStyle w:val="a3"/>
        <w:ind w:firstLine="720"/>
        <w:rPr>
          <w:rFonts w:ascii="GHEA Grapalat" w:hAnsi="GHEA Grapalat"/>
          <w:sz w:val="20"/>
          <w:szCs w:val="20"/>
          <w:u w:val="single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864A27">
        <w:rPr>
          <w:rFonts w:ascii="GHEA Grapalat" w:hAnsi="GHEA Grapalat"/>
          <w:sz w:val="20"/>
          <w:szCs w:val="20"/>
          <w:lang w:val="hy-AM"/>
        </w:rPr>
        <w:t>Պատասխանատու</w:t>
      </w:r>
      <w:r w:rsidRPr="00864A27">
        <w:rPr>
          <w:rFonts w:ascii="GHEA Grapalat" w:hAnsi="GHEA Grapalat" w:cs="Arial"/>
          <w:sz w:val="20"/>
          <w:szCs w:val="20"/>
          <w:lang w:val="hy-AM"/>
        </w:rPr>
        <w:t xml:space="preserve">  </w:t>
      </w:r>
      <w:r w:rsidRPr="00864A27">
        <w:rPr>
          <w:rFonts w:ascii="GHEA Grapalat" w:hAnsi="GHEA Grapalat"/>
          <w:sz w:val="20"/>
          <w:szCs w:val="20"/>
          <w:lang w:val="hy-AM"/>
        </w:rPr>
        <w:t>ստորաբաժանման անդամ</w:t>
      </w:r>
      <w:r w:rsidRPr="00864A27">
        <w:rPr>
          <w:rFonts w:ascii="GHEA Grapalat" w:hAnsi="GHEA Grapalat" w:cs="Arial"/>
          <w:sz w:val="20"/>
          <w:szCs w:val="20"/>
          <w:lang w:val="af-ZA"/>
        </w:rPr>
        <w:t xml:space="preserve"> </w:t>
      </w:r>
      <w:r w:rsidRPr="00864A27">
        <w:rPr>
          <w:rFonts w:ascii="GHEA Grapalat" w:hAnsi="GHEA Grapalat" w:cs="Arial"/>
          <w:sz w:val="20"/>
          <w:szCs w:val="20"/>
          <w:lang w:val="af-ZA"/>
        </w:rPr>
        <w:tab/>
        <w:t xml:space="preserve"> </w:t>
      </w:r>
      <w:r w:rsidRPr="00864A27">
        <w:rPr>
          <w:rFonts w:ascii="GHEA Grapalat" w:hAnsi="GHEA Grapalat" w:cs="Arial"/>
          <w:sz w:val="20"/>
          <w:szCs w:val="20"/>
          <w:lang w:val="hy-AM"/>
        </w:rPr>
        <w:t xml:space="preserve">______________________ </w:t>
      </w:r>
      <w:r w:rsidRPr="00864A27">
        <w:rPr>
          <w:rFonts w:ascii="GHEA Grapalat" w:hAnsi="GHEA Grapalat" w:cs="Arial"/>
          <w:sz w:val="20"/>
          <w:szCs w:val="20"/>
          <w:lang w:val="pt-BR"/>
        </w:rPr>
        <w:t xml:space="preserve"> </w:t>
      </w:r>
      <w:r w:rsidRPr="00B677A9">
        <w:rPr>
          <w:rFonts w:ascii="GHEA Grapalat" w:hAnsi="GHEA Grapalat"/>
          <w:color w:val="000000" w:themeColor="text1"/>
          <w:sz w:val="20"/>
          <w:szCs w:val="20"/>
          <w:lang w:val="hy-AM"/>
        </w:rPr>
        <w:t>Ա. Գևորգյան</w:t>
      </w:r>
      <w:r w:rsidRPr="00864A27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</w:t>
      </w:r>
    </w:p>
    <w:p w14:paraId="4B1A57A3" w14:textId="77777777" w:rsidR="00AF2D27" w:rsidRDefault="00AF2D27" w:rsidP="00AF2D27">
      <w:pPr>
        <w:pStyle w:val="a3"/>
        <w:rPr>
          <w:rFonts w:ascii="GHEA Grapalat" w:hAnsi="GHEA Grapalat" w:cs="Arial"/>
          <w:sz w:val="20"/>
          <w:szCs w:val="20"/>
          <w:vertAlign w:val="superscript"/>
          <w:lang w:val="pt-BR"/>
        </w:rPr>
      </w:pPr>
      <w:r w:rsidRPr="00864A27">
        <w:rPr>
          <w:rFonts w:ascii="GHEA Grapalat" w:hAnsi="GHEA Grapalat"/>
          <w:sz w:val="20"/>
          <w:szCs w:val="20"/>
          <w:lang w:val="af-ZA"/>
        </w:rPr>
        <w:t xml:space="preserve">                   </w:t>
      </w:r>
      <w:r w:rsidRPr="00864A27">
        <w:rPr>
          <w:rFonts w:ascii="GHEA Grapalat" w:hAnsi="GHEA Grapalat"/>
          <w:sz w:val="20"/>
          <w:szCs w:val="20"/>
          <w:lang w:val="pt-BR"/>
        </w:rPr>
        <w:t xml:space="preserve">                             </w:t>
      </w:r>
      <w:r w:rsidRPr="00864A27">
        <w:rPr>
          <w:rFonts w:ascii="GHEA Grapalat" w:hAnsi="GHEA Grapalat"/>
          <w:sz w:val="20"/>
          <w:szCs w:val="20"/>
          <w:lang w:val="af-ZA"/>
        </w:rPr>
        <w:t xml:space="preserve">  </w:t>
      </w:r>
      <w:r w:rsidRPr="00864A27">
        <w:rPr>
          <w:rFonts w:ascii="GHEA Grapalat" w:hAnsi="GHEA Grapalat"/>
          <w:sz w:val="20"/>
          <w:szCs w:val="20"/>
          <w:lang w:val="hy-AM"/>
        </w:rPr>
        <w:t xml:space="preserve">                                 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</w:t>
      </w:r>
      <w:r w:rsidRPr="00864A27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64A27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64A27">
        <w:rPr>
          <w:rFonts w:ascii="GHEA Grapalat" w:hAnsi="GHEA Grapalat"/>
          <w:sz w:val="20"/>
          <w:szCs w:val="20"/>
          <w:vertAlign w:val="superscript"/>
          <w:lang w:val="pt-BR"/>
        </w:rPr>
        <w:t>/ստորագրություն</w:t>
      </w:r>
      <w:r w:rsidRPr="00864A27">
        <w:rPr>
          <w:rFonts w:ascii="GHEA Grapalat" w:hAnsi="GHEA Grapalat" w:cs="Arial"/>
          <w:sz w:val="20"/>
          <w:szCs w:val="20"/>
          <w:vertAlign w:val="superscript"/>
          <w:lang w:val="pt-BR"/>
        </w:rPr>
        <w:t>/</w:t>
      </w:r>
    </w:p>
    <w:p w14:paraId="4CA0F66F" w14:textId="77777777" w:rsidR="00AF2D27" w:rsidRDefault="00AF2D27" w:rsidP="00AF2D27">
      <w:pPr>
        <w:jc w:val="both"/>
        <w:rPr>
          <w:rFonts w:ascii="GHEA Grapalat" w:eastAsia="Times New Roman" w:hAnsi="GHEA Grapalat" w:cs="Arial"/>
          <w:sz w:val="20"/>
          <w:szCs w:val="20"/>
          <w:vertAlign w:val="superscript"/>
          <w:lang w:val="pt-BR"/>
        </w:rPr>
      </w:pPr>
      <w:r>
        <w:rPr>
          <w:rFonts w:ascii="GHEA Grapalat" w:hAnsi="GHEA Grapalat" w:cs="Arial"/>
          <w:sz w:val="20"/>
          <w:szCs w:val="20"/>
          <w:vertAlign w:val="superscript"/>
          <w:lang w:val="pt-BR"/>
        </w:rPr>
        <w:br w:type="page"/>
      </w:r>
    </w:p>
    <w:p w14:paraId="17CFAAC9" w14:textId="77777777" w:rsidR="00315B35" w:rsidRPr="00AF2D27" w:rsidRDefault="00315B35">
      <w:pPr>
        <w:rPr>
          <w:lang w:val="pt-BR"/>
        </w:rPr>
      </w:pPr>
    </w:p>
    <w:sectPr w:rsidR="00315B35" w:rsidRPr="00AF2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C48E2"/>
    <w:multiLevelType w:val="hybridMultilevel"/>
    <w:tmpl w:val="7972AE8E"/>
    <w:lvl w:ilvl="0" w:tplc="23582A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3FA5E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7D23B71"/>
    <w:multiLevelType w:val="hybridMultilevel"/>
    <w:tmpl w:val="49EA12E6"/>
    <w:lvl w:ilvl="0" w:tplc="2358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C4E0C"/>
    <w:multiLevelType w:val="hybridMultilevel"/>
    <w:tmpl w:val="C9DEBD36"/>
    <w:lvl w:ilvl="0" w:tplc="23582A64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 w15:restartNumberingAfterBreak="0">
    <w:nsid w:val="60C942AA"/>
    <w:multiLevelType w:val="hybridMultilevel"/>
    <w:tmpl w:val="FAAAF930"/>
    <w:lvl w:ilvl="0" w:tplc="2358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F4B"/>
    <w:rsid w:val="00240FE4"/>
    <w:rsid w:val="00315B35"/>
    <w:rsid w:val="007A7D27"/>
    <w:rsid w:val="00AF2D27"/>
    <w:rsid w:val="00D72F4B"/>
    <w:rsid w:val="00E8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8E8017-C532-47FA-A70F-638771441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2D27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2D27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List Paragraph"/>
    <w:aliases w:val="List_Paragraph,Multilevel para_II,List Paragraph-ExecSummary,Akapit z listą BS,Bullets,List Paragraph 1,References,List Paragraph (numbered (a)),IBL List Paragraph,List Paragraph nowy,Numbered List Paragraph,Bullet1"/>
    <w:basedOn w:val="a"/>
    <w:link w:val="a5"/>
    <w:uiPriority w:val="34"/>
    <w:qFormat/>
    <w:rsid w:val="00AF2D27"/>
    <w:pPr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a5">
    <w:name w:val="Абзац списка Знак"/>
    <w:aliases w:val="List_Paragraph Знак,Multilevel para_II Знак,List Paragraph-ExecSummary Знак,Akapit z listą BS Знак,Bullets Знак,List Paragraph 1 Знак,References Знак,List Paragraph (numbered (a)) Знак,IBL List Paragraph Знак,List Paragraph nowy Знак"/>
    <w:link w:val="a4"/>
    <w:uiPriority w:val="34"/>
    <w:qFormat/>
    <w:locked/>
    <w:rsid w:val="00AF2D2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887</Words>
  <Characters>5062</Characters>
  <Application>Microsoft Office Word</Application>
  <DocSecurity>0</DocSecurity>
  <Lines>42</Lines>
  <Paragraphs>11</Paragraphs>
  <ScaleCrop>false</ScaleCrop>
  <Company/>
  <LinksUpToDate>false</LinksUpToDate>
  <CharactersWithSpaces>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2024-12-04T09:42:00Z</dcterms:created>
  <dcterms:modified xsi:type="dcterms:W3CDTF">2024-12-04T09:42:00Z</dcterms:modified>
</cp:coreProperties>
</file>