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6EA6C4D" w:rsidR="00716704" w:rsidRPr="00602352" w:rsidRDefault="00B169F4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B169F4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Աբովյան քաղաքի 7-րդ միկրոշրջանի 3-րդ թաղամասի 92 տնից մինչև 102 տունը սնող միջին ճնշման գազատար խողովակի կառուցման աշխատանքների ձեռքբերման նպատակով «ԱԲՀ-ԳՀԱՇՁԲ-25/118»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34F4A70F" w:rsidR="004C6E7E" w:rsidRPr="009438E6" w:rsidRDefault="00716704" w:rsidP="00B169F4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B169F4">
        <w:rPr>
          <w:rFonts w:ascii="GHEA Grapalat" w:hAnsi="GHEA Grapalat" w:cs="Sylfaen"/>
          <w:i/>
          <w:lang w:val="hy-AM"/>
        </w:rPr>
        <w:t>ABH-GhAshDzB-25/118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B169F4" w:rsidRPr="00B169F4">
        <w:rPr>
          <w:rFonts w:ascii="GHEA Grapalat" w:hAnsi="GHEA Grapalat" w:cs="Sylfaen"/>
          <w:i/>
          <w:lang w:val="hy-AM"/>
        </w:rPr>
        <w:t>п</w:t>
      </w:r>
      <w:r w:rsidR="00B169F4" w:rsidRPr="00B169F4">
        <w:rPr>
          <w:rFonts w:ascii="GHEA Grapalat" w:hAnsi="GHEA Grapalat" w:cs="Sylfaen" w:hint="eastAsia"/>
          <w:i/>
          <w:lang w:val="hy-AM"/>
        </w:rPr>
        <w:t>риобретени</w:t>
      </w:r>
      <w:r w:rsidR="00B169F4" w:rsidRPr="00B169F4">
        <w:rPr>
          <w:rFonts w:ascii="GHEA Grapalat" w:hAnsi="GHEA Grapalat" w:cs="Sylfaen"/>
          <w:i/>
          <w:lang w:val="hy-AM"/>
        </w:rPr>
        <w:t>е работ по строительству газопровода среднего давления для снабжения домов 92-102 в 3-м квартале 7-го микрорайона города Абовян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D333E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A2157C" w:rsidR="00602352" w:rsidRPr="00B169F4" w:rsidRDefault="00B169F4" w:rsidP="0043154F">
            <w:pPr>
              <w:pStyle w:val="HTML"/>
              <w:shd w:val="clear" w:color="auto" w:fill="F8F9FA"/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 w:rsidRPr="00B169F4">
              <w:rPr>
                <w:rFonts w:ascii="GHEA Grapalat" w:hAnsi="GHEA Grapalat" w:cs="Sylfaen"/>
                <w:i/>
                <w:lang w:val="hy-AM"/>
              </w:rPr>
              <w:t xml:space="preserve">Աբովյան համայնքի Աբովյան քաղաքի 7-րդ միկրոշրջանի 3-րդ թաղամասի 92 տնից մինչև 102 տունը սնող միջին ճնշման գազատար խողովակի </w:t>
            </w:r>
            <w:r>
              <w:rPr>
                <w:rFonts w:ascii="GHEA Grapalat" w:hAnsi="GHEA Grapalat" w:cs="Sylfaen"/>
                <w:i/>
                <w:lang w:val="hy-AM"/>
              </w:rPr>
              <w:t>կառուցման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t>п</w:t>
            </w:r>
            <w:r w:rsidRPr="00B169F4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t xml:space="preserve">е работ по строительству газопровода среднего давления для снабжения домов 92-102 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lastRenderedPageBreak/>
              <w:t>в 3-м квартале 7-го микрорайона города Абовян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D27B89" w:rsidR="00207B08" w:rsidRPr="006935EE" w:rsidRDefault="00B169F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030 260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1D6BABB" w:rsidR="00207B08" w:rsidRPr="006935EE" w:rsidRDefault="00B169F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030 260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191CC0EF" w:rsidR="00114640" w:rsidRPr="00B169F4" w:rsidRDefault="00B169F4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169F4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7-րդ միկրոշրջանի 3-րդ թաղամասի 92 տնից մինչև 102 տունը սնող միջին ճնշման գազատար խողովակի կառուցման աշխատանքներ</w:t>
            </w:r>
            <w:r w:rsidRPr="00B169F4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t>приобретение работ по строительству газопровода среднего давления для снабжения домов 92-102 в 3-м квартале 7-го микрорайона города Абовян 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3D92AA8" w:rsidR="00207B08" w:rsidRPr="00B169F4" w:rsidRDefault="00B169F4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B169F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Աբովյան համայնքի Աբովյան քաղաքի 7-րդ միկրոշրջանի 3-րդ թաղամասի 92 տնից մինչև 102 տունը սնող միջին ճնշման գազատար խողովակի կառուցման աշխատանքներ, приобретение работ по строительству газопровода среднего давления для снабжения домов 92-102 в 3-м квартале 7-го </w:t>
            </w:r>
            <w:r w:rsidRPr="00B169F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микрорайона города Абовян общины Абовян</w:t>
            </w:r>
          </w:p>
        </w:tc>
      </w:tr>
      <w:tr w:rsidR="009D12FD" w:rsidRPr="00BD333E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BD333E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BD333E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C01729E" w:rsidR="009D12FD" w:rsidRPr="00A63F0D" w:rsidRDefault="00DC60AA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02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9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333E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C87AB1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1CB0EC87" w:rsidR="00B11978" w:rsidRPr="00A63F0D" w:rsidRDefault="000912FE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B169F4">
              <w:rPr>
                <w:rFonts w:ascii="GHEA Grapalat" w:hAnsi="GHEA Grapalat" w:cs="Sylfaen"/>
                <w:i/>
                <w:lang w:val="hy-AM"/>
              </w:rPr>
              <w:t xml:space="preserve">Աբովյան համայնքի Աբովյան քաղաքի 7-րդ միկրոշրջանի 3-րդ թաղամասի 92 տնից մինչև 102 տունը սնող միջին ճնշման գազատար խողովակի </w:t>
            </w:r>
            <w:r>
              <w:rPr>
                <w:rFonts w:ascii="GHEA Grapalat" w:hAnsi="GHEA Grapalat" w:cs="Sylfaen"/>
                <w:i/>
                <w:lang w:val="hy-AM"/>
              </w:rPr>
              <w:t>կառուցման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t>п</w:t>
            </w:r>
            <w:r w:rsidRPr="00B169F4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B169F4">
              <w:rPr>
                <w:rFonts w:ascii="GHEA Grapalat" w:hAnsi="GHEA Grapalat" w:cs="Sylfaen"/>
                <w:i/>
                <w:lang w:val="hy-AM"/>
              </w:rPr>
              <w:t>е работ по строительству газопровода среднего давления для снабжения домов 92-102 в 3-м квартале 7-го микрорайона города Абовян общины Абовян</w:t>
            </w:r>
          </w:p>
        </w:tc>
      </w:tr>
      <w:tr w:rsidR="00DC60AA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DC60AA" w:rsidRPr="00A63F0D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5709EC4C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«Ի</w:t>
            </w:r>
            <w:r w:rsidRPr="007A697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ՆՏԵՌՈՍ-ՊԱՌԵՔՍԳԼՈՄ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7A697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7A697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Էմօշին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7A697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կոնսորցիում</w:t>
            </w:r>
            <w:r w:rsidR="00BD333E" w:rsidRPr="00BD333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BD333E" w:rsidRP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Консорциум ООО «ИНТЕРОС-ПАРЕКСГЛО</w:t>
            </w:r>
            <w:r w:rsid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М</w:t>
            </w:r>
            <w:r w:rsidR="00BD333E" w:rsidRP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» и ООО «Эмошин»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6797A972" w:rsidR="00DC60AA" w:rsidRPr="00A63F0D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50A43599" w:rsidR="00DC60AA" w:rsidRPr="00A63F0D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C421996" w:rsidR="00DC60AA" w:rsidRPr="00A63F0D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440 000</w:t>
            </w:r>
          </w:p>
        </w:tc>
      </w:tr>
      <w:tr w:rsidR="00DC60AA" w:rsidRPr="00A63F0D" w14:paraId="366F24CE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B1F0D94" w14:textId="3B5C63C3" w:rsidR="00DC60AA" w:rsidRPr="000E0645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158E099" w14:textId="7C355C2C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«ՄԻՔՇԻՆ-Մ» ՍՊԸ և «ՎԱՆԴԱԺԻ» ՍՊԸ կոնսորցիում</w:t>
            </w:r>
            <w:r w:rsidR="00BD333E" w:rsidRPr="00BD333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BD333E" w:rsidRP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Консорциум ООО «МИКШИН-М» и ООО «ВАНДАЖИ»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1D9E5B8E" w:rsidR="00DC60AA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CDD4E2" w14:textId="5F2B1C58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854 000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76CDD35" w14:textId="13EB39EF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124 000</w:t>
            </w:r>
          </w:p>
        </w:tc>
      </w:tr>
      <w:tr w:rsidR="00DC60AA" w:rsidRPr="00A63F0D" w14:paraId="3908F51F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889D2B2" w14:textId="626C0C86" w:rsidR="00DC60AA" w:rsidRPr="000E0645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A64D0BB" w14:textId="45D89D31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«ԻՍՊ ԳՐՈՒՊ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D333E" w:rsidRPr="00BD333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BD333E" w:rsidRP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«ИСП ГРУПП»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8A85626" w14:textId="01CD5F64" w:rsidR="00DC60AA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CFDBCD4" w14:textId="3ED13BCC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D4206BB" w14:textId="7BEFCAFD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DC60AA" w:rsidRPr="00A63F0D" w14:paraId="7132D8AC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1608CD1" w14:textId="662964F7" w:rsidR="00DC60AA" w:rsidRPr="000E0645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006D21D" w14:textId="744816B8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55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«ԿԱՌԿՈՄ» ՍՊԸ</w:t>
            </w:r>
            <w:r w:rsidR="00BD333E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D333E"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ООО «КАРКОМ»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0B79879" w14:textId="16F63A41" w:rsidR="00DC60AA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E613B97" w14:textId="7F259B96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337DD54" w14:textId="60CED0BC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DC60AA" w:rsidRPr="00A63F0D" w14:paraId="5E45E8D0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B83F1A1" w14:textId="5D135456" w:rsidR="00DC60AA" w:rsidRPr="000E0645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FD951D4" w14:textId="5B9CBD42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«ՋԵՐՄԱԳԱԶԷԼ</w:t>
            </w:r>
            <w:r w:rsidRPr="00B55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D333E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ООО «ДЖЕРМАГАЗ</w:t>
            </w:r>
            <w:r w:rsidR="00BD333E"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ЕЛЬ»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F250F87" w14:textId="76C51539" w:rsidR="00DC60AA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BD17BE5" w14:textId="01CC1908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E8ACF77" w14:textId="0DE8FBFC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190 000</w:t>
            </w:r>
          </w:p>
        </w:tc>
      </w:tr>
      <w:tr w:rsidR="00DC60AA" w:rsidRPr="00A63F0D" w14:paraId="7E87C014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C835999" w14:textId="499743B4" w:rsidR="00DC60AA" w:rsidRPr="000E0645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610EF9E" w14:textId="0FFCDFD8" w:rsidR="00DC60AA" w:rsidRPr="00BD333E" w:rsidRDefault="00DC60AA" w:rsidP="00DC60A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«ՆԻԳ ԳՐՈՒՊ</w:t>
            </w:r>
            <w:r w:rsidRPr="00B55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D333E" w:rsidRPr="00BD333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BD333E" w:rsidRPr="00BD333E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«НИГ ГРУПП»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2C53A3E" w14:textId="2DAAACF3" w:rsidR="00DC60AA" w:rsidRDefault="00DC60AA" w:rsidP="00DC60A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825 000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583F0F" w14:textId="07B9AE70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165 000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B77D088" w14:textId="7965AF17" w:rsidR="00DC60AA" w:rsidRDefault="00DC60AA" w:rsidP="00DC60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333E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BD333E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52F97A05" w:rsidR="00C34549" w:rsidRPr="00A63F0D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03684A5D" w:rsidR="00C34549" w:rsidRPr="00791A5E" w:rsidRDefault="00C34549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51DB99E1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70AB2F7E" w:rsidR="00C34549" w:rsidRPr="00BA7FBC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D12FD" w:rsidRPr="00BD333E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BD333E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944FF4" w:rsidR="009D12FD" w:rsidRPr="00A63F0D" w:rsidRDefault="00F0053B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15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D333E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2B28A5" w:rsidR="009D12FD" w:rsidRPr="003B476A" w:rsidRDefault="00B712AE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F4921A" w:rsidR="009D12FD" w:rsidRPr="003B476A" w:rsidRDefault="00B712AE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D333E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CC7A1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01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3E870D" w:rsidR="009D12FD" w:rsidRPr="00A63F0D" w:rsidRDefault="00B712A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023843" w:rsidR="009D12FD" w:rsidRPr="00A63F0D" w:rsidRDefault="00B712A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A7440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1D8A3718" w:rsidR="006E6F6D" w:rsidRPr="00BD333E" w:rsidRDefault="00B712AE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BD333E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«ԻՆՏԵՌՈՍ-ՊԱՌԵՔՍԳԼՈՄ» ՍՊԸ և «Էմօշին» ՍՊԸ կոնսորցիում</w:t>
            </w:r>
            <w:r w:rsidR="00BD333E" w:rsidRPr="00BD333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="00BD333E" w:rsidRPr="00BD333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Консорциум ООО </w:t>
            </w:r>
            <w:r w:rsidR="00BD333E" w:rsidRPr="00BD333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lastRenderedPageBreak/>
              <w:t>«ИНТЕРОС-ПАРЕКСГЛОМ» и ООО «Эмошин»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65FA81D4" w:rsidR="007B4029" w:rsidRPr="0057687F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lastRenderedPageBreak/>
              <w:t>«</w:t>
            </w:r>
            <w:r w:rsidR="007B4029" w:rsidRPr="0057687F">
              <w:rPr>
                <w:rFonts w:ascii="GHEA Grapalat" w:hAnsi="GHEA Grapalat" w:cs="Sylfaen"/>
                <w:i/>
                <w:lang w:val="hy-AM"/>
              </w:rPr>
              <w:t>ԱԲՀ-ԳՀԱՇՁԲ</w:t>
            </w:r>
            <w:r w:rsidR="00B712AE" w:rsidRPr="0057687F">
              <w:rPr>
                <w:rFonts w:ascii="GHEA Grapalat" w:hAnsi="GHEA Grapalat" w:cs="Sylfaen"/>
                <w:i/>
                <w:lang w:val="hy-AM"/>
              </w:rPr>
              <w:t>-25/118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»</w:t>
            </w:r>
            <w:r w:rsidR="006E6F6D" w:rsidRPr="0057687F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</w:p>
          <w:p w14:paraId="2183B64C" w14:textId="60AB79B7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 w:rsidR="00B712AE" w:rsidRPr="0057687F">
              <w:rPr>
                <w:rFonts w:ascii="GHEA Grapalat" w:hAnsi="GHEA Grapalat" w:cs="Sylfaen"/>
                <w:i/>
                <w:lang w:val="hy-AM"/>
              </w:rPr>
              <w:t>ABH-GhAshDzB-25/118</w:t>
            </w:r>
            <w:r w:rsidR="00193E61"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65CF1434" w:rsidR="006E6F6D" w:rsidRPr="000C33CF" w:rsidRDefault="00B712AE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03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4B756CD0" w:rsidR="006E6F6D" w:rsidRPr="00526611" w:rsidRDefault="00B712AE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 w:rsidRPr="00275B5C"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275B5C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75B5C">
              <w:rPr>
                <w:rFonts w:ascii="GHEA Grapalat" w:hAnsi="GHEA Grapalat"/>
                <w:i/>
              </w:rPr>
              <w:t>կողմից</w:t>
            </w:r>
            <w:proofErr w:type="spellEnd"/>
            <w:r w:rsidRPr="00275B5C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75B5C">
              <w:rPr>
                <w:rFonts w:ascii="GHEA Grapalat" w:hAnsi="GHEA Grapalat"/>
                <w:i/>
              </w:rPr>
              <w:t>գրավոր</w:t>
            </w:r>
            <w:proofErr w:type="spellEnd"/>
            <w:r w:rsidRPr="00275B5C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75B5C"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275B5C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75B5C">
              <w:rPr>
                <w:rFonts w:ascii="GHEA Grapalat" w:hAnsi="GHEA Grapalat"/>
                <w:i/>
              </w:rPr>
              <w:t>օրվանից</w:t>
            </w:r>
            <w:proofErr w:type="spellEnd"/>
            <w:r w:rsidRPr="00275B5C">
              <w:rPr>
                <w:rFonts w:ascii="GHEA Grapalat" w:hAnsi="GHEA Grapalat"/>
                <w:i/>
                <w:lang w:val="pt-BR"/>
              </w:rPr>
              <w:t xml:space="preserve"> 90</w:t>
            </w:r>
            <w:r w:rsidRPr="00275B5C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67E523FF" w:rsidR="006E6F6D" w:rsidRPr="00814576" w:rsidRDefault="00B712AE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440 000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6E6646FC" w:rsidR="006E6F6D" w:rsidRPr="00A63F0D" w:rsidRDefault="00B712AE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440 000</w:t>
            </w:r>
          </w:p>
        </w:tc>
      </w:tr>
      <w:tr w:rsidR="006E6F6D" w:rsidRPr="00BD333E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BD333E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2161DE" w:rsidR="00150D1B" w:rsidRPr="009F5A2D" w:rsidRDefault="00BD333E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BD333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«ԻՆՏԵՌՈՍ-ՊԱՌԵՔՍԳԼՈՄ» ՍՊԸ և «Էմօշին» ՍՊԸ կոնսորցիում, </w:t>
            </w:r>
            <w:r w:rsidRPr="00BD333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Консорциум ООО «ИНТЕРОС-ПАРЕКСГЛОМ» и ООО «Эм</w:t>
            </w:r>
            <w:bookmarkStart w:id="0" w:name="_GoBack"/>
            <w:bookmarkEnd w:id="0"/>
            <w:r w:rsidRPr="00BD333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ошин»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1E2BE4" w:rsidR="00150D1B" w:rsidRPr="002A13F3" w:rsidRDefault="00A66A2B" w:rsidP="00A66A2B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Ա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ռինջ,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4 փ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 ն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րբ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.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1 հող., 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+(374) 98 777 037 , +(374) 91 50 08 04,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ք.Երևան Ավան 10 րդ. փ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ող.</w:t>
            </w:r>
            <w:r w:rsidRPr="002A6A5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տուն 1, +374 93 72 02 22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032C90" w:rsidR="00150D1B" w:rsidRPr="00A66A2B" w:rsidRDefault="00A66A2B" w:rsidP="00D6400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</w:pPr>
            <w:hyperlink r:id="rId8" w:history="1">
              <w:r w:rsidRPr="009C42D9">
                <w:rPr>
                  <w:rFonts w:ascii="GHEA Grapalat" w:hAnsi="GHEA Grapalat" w:cs="Times New Roman"/>
                  <w:i/>
                  <w:sz w:val="22"/>
                  <w:szCs w:val="22"/>
                  <w:lang w:val="hy-AM"/>
                </w:rPr>
                <w:t>ipg.llc.procurement@gmail.com</w:t>
              </w:r>
            </w:hyperlink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</w:t>
            </w:r>
            <w:r w:rsidRPr="00A66A2B">
              <w:rPr>
                <w:rFonts w:ascii="GHEA Grapalat" w:hAnsi="GHEA Grapalat"/>
                <w:i/>
                <w:lang w:val="hy-AM"/>
              </w:rPr>
              <w:t xml:space="preserve"> </w:t>
            </w:r>
            <w:hyperlink r:id="rId9" w:history="1">
              <w:r w:rsidRPr="009C42D9">
                <w:rPr>
                  <w:rFonts w:ascii="GHEA Grapalat" w:hAnsi="GHEA Grapalat" w:cs="Times New Roman"/>
                  <w:i/>
                  <w:sz w:val="22"/>
                  <w:szCs w:val="22"/>
                  <w:lang w:val="hy-AM"/>
                </w:rPr>
                <w:t>emilbznun@gmail.com</w:t>
              </w:r>
            </w:hyperlink>
            <w:r w:rsidRPr="009C42D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Ариндж</w:t>
            </w:r>
            <w:proofErr w:type="spellEnd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, 4-я ул. 3-й пер. 1 уч., ipg.llc.procurement@gmail.com, +(374) 98 777 </w:t>
            </w:r>
            <w:proofErr w:type="gramStart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037 ,</w:t>
            </w:r>
            <w:proofErr w:type="gramEnd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 +(374) 91 50 08 04, Ереванский </w:t>
            </w:r>
            <w:proofErr w:type="spellStart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Аван</w:t>
            </w:r>
            <w:proofErr w:type="spellEnd"/>
            <w:r w:rsidRPr="00206F9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 10-я ул. дом 1, emilbznun@gmail.com, +374 93 72 02 22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64B97F7" w:rsidR="00150D1B" w:rsidRPr="00D64006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2479600565510000, 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</w:rPr>
              <w:t>Հ/Հ-22001333281600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3F4E9C" w:rsidR="00150D1B" w:rsidRPr="00D64006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03563357,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="00D64006"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</w:rPr>
              <w:t>00651476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D333E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BD333E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D333E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BD333E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D333E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D333E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D333E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D333E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BD333E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87F48" w14:textId="77777777" w:rsidR="001954CA" w:rsidRDefault="001954CA" w:rsidP="0022631D">
      <w:pPr>
        <w:spacing w:before="0" w:after="0"/>
      </w:pPr>
      <w:r>
        <w:separator/>
      </w:r>
    </w:p>
  </w:endnote>
  <w:endnote w:type="continuationSeparator" w:id="0">
    <w:p w14:paraId="4C688B93" w14:textId="77777777" w:rsidR="001954CA" w:rsidRDefault="001954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32E05" w14:textId="77777777" w:rsidR="001954CA" w:rsidRDefault="001954CA" w:rsidP="0022631D">
      <w:pPr>
        <w:spacing w:before="0" w:after="0"/>
      </w:pPr>
      <w:r>
        <w:separator/>
      </w:r>
    </w:p>
  </w:footnote>
  <w:footnote w:type="continuationSeparator" w:id="0">
    <w:p w14:paraId="0532F715" w14:textId="77777777" w:rsidR="001954CA" w:rsidRDefault="001954CA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0F0A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2A0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9F4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006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g.llc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ilbzn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38E1-BC43-4EA0-BD35-FF1587B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505</cp:revision>
  <cp:lastPrinted>2023-04-25T07:21:00Z</cp:lastPrinted>
  <dcterms:created xsi:type="dcterms:W3CDTF">2021-06-28T12:08:00Z</dcterms:created>
  <dcterms:modified xsi:type="dcterms:W3CDTF">2025-10-06T07:42:00Z</dcterms:modified>
</cp:coreProperties>
</file>