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46E7F7A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57CB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57CB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="00614DF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E7C0251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B57CB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25/219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33EF77BC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B57CBE">
        <w:rPr>
          <w:rFonts w:ascii="GHEA Grapalat" w:hAnsi="GHEA Grapalat"/>
          <w:sz w:val="24"/>
          <w:szCs w:val="24"/>
          <w:lang w:val="hy-AM"/>
        </w:rPr>
        <w:t>Դավթաշեն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B57CBE" w:rsidRPr="00B57CBE">
        <w:rPr>
          <w:rFonts w:ascii="GHEA Grapalat" w:hAnsi="GHEA Grapalat"/>
          <w:sz w:val="24"/>
          <w:szCs w:val="24"/>
          <w:lang w:val="hy-AM"/>
        </w:rPr>
        <w:t>համակարգչային սարքավորումների, էլեկտրատեխնիկայի և կենցաղային տեխնիկայի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CBE">
        <w:rPr>
          <w:rFonts w:ascii="GHEA Grapalat" w:hAnsi="GHEA Grapalat"/>
          <w:sz w:val="24"/>
          <w:szCs w:val="24"/>
          <w:lang w:val="hy-AM"/>
        </w:rPr>
        <w:t>17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B57CBE">
        <w:rPr>
          <w:rFonts w:ascii="GHEA Grapalat" w:hAnsi="GHEA Grapalat"/>
          <w:sz w:val="24"/>
          <w:szCs w:val="24"/>
          <w:lang w:val="hy-AM"/>
        </w:rPr>
        <w:t>6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B57CBE">
        <w:rPr>
          <w:rFonts w:ascii="GHEA Grapalat" w:hAnsi="GHEA Grapalat"/>
          <w:sz w:val="24"/>
          <w:szCs w:val="24"/>
          <w:lang w:val="hy-AM"/>
        </w:rPr>
        <w:t>1</w:t>
      </w:r>
      <w:r w:rsidR="00614DF1">
        <w:rPr>
          <w:rFonts w:ascii="GHEA Grapalat" w:hAnsi="GHEA Grapalat"/>
          <w:sz w:val="24"/>
          <w:szCs w:val="24"/>
          <w:lang w:val="hy-AM"/>
        </w:rPr>
        <w:t>8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B57CBE">
        <w:rPr>
          <w:rFonts w:ascii="GHEA Grapalat" w:hAnsi="GHEA Grapalat"/>
          <w:sz w:val="24"/>
          <w:szCs w:val="24"/>
          <w:lang w:val="hy-AM"/>
        </w:rPr>
        <w:t>6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EC29FD" w14:textId="74629E78" w:rsidR="007E4C15" w:rsidRPr="00B57CBE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614DF1" w:rsidRPr="00614DF1">
        <w:rPr>
          <w:rFonts w:ascii="GHEA Grapalat" w:hAnsi="GHEA Grapalat"/>
          <w:sz w:val="24"/>
          <w:szCs w:val="24"/>
          <w:lang w:val="hy-AM"/>
        </w:rPr>
        <w:t>8-րդ չափաբաժնի մասով խնդրում եմ պարզաբանել, արդյոք ընդունելի է հետևյալ չափսերով IP հեռախոս – Սեղանի վրա ≈45° դիրքում՝ 169×201.1×177.4 մմ – Պատի վրա՝ 169×120.1×213.7 մմ</w:t>
      </w:r>
      <w:r w:rsidR="00B57CBE" w:rsidRPr="00B57CBE">
        <w:rPr>
          <w:rFonts w:ascii="GHEA Grapalat" w:hAnsi="GHEA Grapalat"/>
          <w:sz w:val="24"/>
          <w:szCs w:val="24"/>
          <w:lang w:val="hy-AM"/>
        </w:rPr>
        <w:t>։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1A7F5A0E" w:rsidR="007E4C15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հարցմանը</w:t>
      </w:r>
      <w:r w:rsidR="00A44E04">
        <w:rPr>
          <w:rFonts w:ascii="GHEA Grapalat" w:hAnsi="GHEA Grapalat"/>
          <w:sz w:val="24"/>
          <w:szCs w:val="24"/>
          <w:lang w:val="hy-AM"/>
        </w:rPr>
        <w:t>.</w:t>
      </w:r>
      <w:r w:rsidRPr="009B144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68AB97A" w14:textId="7753C771" w:rsidR="007E4C15" w:rsidRDefault="00A44E04" w:rsidP="00614DF1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14DF1" w:rsidRPr="00614DF1">
        <w:rPr>
          <w:rFonts w:ascii="GHEA Grapalat" w:hAnsi="GHEA Grapalat"/>
          <w:sz w:val="24"/>
          <w:szCs w:val="24"/>
          <w:lang w:val="hy-AM"/>
        </w:rPr>
        <w:t>Խնդրում ենք առաջնորդվել տեխնիկական բնութագրում ներկայացված պահանջներով:</w:t>
      </w:r>
    </w:p>
    <w:p w14:paraId="11A11C71" w14:textId="77777777" w:rsidR="00614DF1" w:rsidRPr="00614DF1" w:rsidRDefault="00614DF1" w:rsidP="00614DF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6E1DEE38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 w:rsidR="00A44E0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17BCF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E4C15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4508D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>Էլեկտր</w:t>
      </w:r>
      <w:r w:rsidR="00B125E8">
        <w:rPr>
          <w:rFonts w:ascii="GHEA Grapalat" w:hAnsi="GHEA Grapalat" w:cs="Sylfaen"/>
          <w:sz w:val="24"/>
          <w:szCs w:val="24"/>
          <w:lang w:val="hy-AM"/>
        </w:rPr>
        <w:t>ո</w:t>
      </w: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CF275AE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B57CBE">
        <w:rPr>
          <w:rFonts w:ascii="GHEA Grapalat" w:hAnsi="GHEA Grapalat" w:cs="Sylfaen"/>
          <w:b/>
          <w:bCs/>
          <w:sz w:val="24"/>
          <w:szCs w:val="24"/>
          <w:lang w:val="af-ZA"/>
        </w:rPr>
        <w:t>25/219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32A9" w14:textId="77777777" w:rsidR="009102CB" w:rsidRDefault="009102CB" w:rsidP="00B430B8">
      <w:pPr>
        <w:spacing w:after="0" w:line="240" w:lineRule="auto"/>
      </w:pPr>
      <w:r>
        <w:separator/>
      </w:r>
    </w:p>
  </w:endnote>
  <w:endnote w:type="continuationSeparator" w:id="0">
    <w:p w14:paraId="328519B7" w14:textId="77777777" w:rsidR="009102CB" w:rsidRDefault="009102C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2D9E" w14:textId="77777777" w:rsidR="009102CB" w:rsidRDefault="009102CB" w:rsidP="00B430B8">
      <w:pPr>
        <w:spacing w:after="0" w:line="240" w:lineRule="auto"/>
      </w:pPr>
      <w:r>
        <w:separator/>
      </w:r>
    </w:p>
  </w:footnote>
  <w:footnote w:type="continuationSeparator" w:id="0">
    <w:p w14:paraId="1A78A1B7" w14:textId="77777777" w:rsidR="009102CB" w:rsidRDefault="009102C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433AF"/>
    <w:rsid w:val="00061F19"/>
    <w:rsid w:val="0009690F"/>
    <w:rsid w:val="000B362A"/>
    <w:rsid w:val="000F3E63"/>
    <w:rsid w:val="001025C9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0DA1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B5704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14DF1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4D40"/>
    <w:rsid w:val="008C76F8"/>
    <w:rsid w:val="008D228E"/>
    <w:rsid w:val="009015C2"/>
    <w:rsid w:val="009102CB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E04"/>
    <w:rsid w:val="00A63547"/>
    <w:rsid w:val="00A810B2"/>
    <w:rsid w:val="00AA1A46"/>
    <w:rsid w:val="00AB662B"/>
    <w:rsid w:val="00AC37A6"/>
    <w:rsid w:val="00AF49F3"/>
    <w:rsid w:val="00B04EE1"/>
    <w:rsid w:val="00B11389"/>
    <w:rsid w:val="00B125E8"/>
    <w:rsid w:val="00B34E4C"/>
    <w:rsid w:val="00B430B8"/>
    <w:rsid w:val="00B57CBE"/>
    <w:rsid w:val="00B63997"/>
    <w:rsid w:val="00B751B8"/>
    <w:rsid w:val="00BA3A84"/>
    <w:rsid w:val="00BB0E96"/>
    <w:rsid w:val="00BE64DB"/>
    <w:rsid w:val="00C1597D"/>
    <w:rsid w:val="00C354D2"/>
    <w:rsid w:val="00C36CDA"/>
    <w:rsid w:val="00CB0BC5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03BAC"/>
    <w:rsid w:val="00F2448D"/>
    <w:rsid w:val="00F26B8A"/>
    <w:rsid w:val="00F417D8"/>
    <w:rsid w:val="00F41EFD"/>
    <w:rsid w:val="00F551BC"/>
    <w:rsid w:val="00F64749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75</cp:revision>
  <cp:lastPrinted>2025-06-18T07:13:00Z</cp:lastPrinted>
  <dcterms:created xsi:type="dcterms:W3CDTF">2018-11-20T13:06:00Z</dcterms:created>
  <dcterms:modified xsi:type="dcterms:W3CDTF">2025-06-18T07:13:00Z</dcterms:modified>
</cp:coreProperties>
</file>