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7" w:rsidRPr="00F829D4" w:rsidRDefault="00160D57" w:rsidP="002F6AE8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829D4">
        <w:rPr>
          <w:rFonts w:ascii="Times New Roman" w:hAnsi="Times New Roman" w:cs="Times New Roman"/>
          <w:b/>
          <w:i/>
        </w:rPr>
        <w:t>Clarification</w:t>
      </w:r>
      <w:r w:rsidR="00AF4B03">
        <w:rPr>
          <w:rFonts w:ascii="Times New Roman" w:hAnsi="Times New Roman" w:cs="Times New Roman"/>
          <w:b/>
          <w:i/>
        </w:rPr>
        <w:t>#2</w:t>
      </w:r>
      <w:r w:rsidRPr="00F829D4">
        <w:rPr>
          <w:rFonts w:ascii="Times New Roman" w:hAnsi="Times New Roman" w:cs="Times New Roman"/>
          <w:b/>
          <w:i/>
        </w:rPr>
        <w:t xml:space="preserve"> to BID doc of Procurement of </w:t>
      </w:r>
      <w:r w:rsidR="00F829D4" w:rsidRPr="00F829D4">
        <w:rPr>
          <w:rFonts w:ascii="Times New Roman" w:hAnsi="Times New Roman" w:cs="Times New Roman"/>
          <w:b/>
          <w:i/>
        </w:rPr>
        <w:t>Medical, diagnostic equipment, Medical supplies and Medical furniture for "Sevan’’ and “Artashat” MCs comprising of 4 lots, Reference No. CR4/ICB/B-G/018-17</w:t>
      </w:r>
    </w:p>
    <w:p w:rsidR="00160D57" w:rsidRPr="00F829D4" w:rsidRDefault="00160D57" w:rsidP="002F6AE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E02B0" w:rsidRPr="00254390" w:rsidRDefault="00AF4B03" w:rsidP="00AF4B0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390">
        <w:rPr>
          <w:rFonts w:ascii="Times New Roman" w:hAnsi="Times New Roman" w:cs="Times New Roman"/>
          <w:b/>
          <w:i/>
          <w:sz w:val="24"/>
          <w:szCs w:val="24"/>
          <w:u w:val="single"/>
        </w:rPr>
        <w:t>Inquiries</w:t>
      </w:r>
      <w:r w:rsidR="00D714C0" w:rsidRPr="0025439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F829D4" w:rsidRPr="002543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4B03" w:rsidRPr="00254390" w:rsidRDefault="00AF4B03" w:rsidP="00DE02B0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 w:rsidRPr="00254390">
        <w:rPr>
          <w:rFonts w:ascii="Times New Roman" w:eastAsia="Times New Roman" w:hAnsi="Times New Roman" w:cs="Times New Roman"/>
          <w:i/>
          <w:sz w:val="24"/>
          <w:szCs w:val="24"/>
        </w:rPr>
        <w:t>Referring to the ITB 10.1 - please confirm the acceptance of original documents from T</w:t>
      </w:r>
      <w:r w:rsidRPr="00254390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ax Committee and Social Security state Fund, as well as registration documents of the company in Armenian language</w:t>
      </w:r>
    </w:p>
    <w:p w:rsidR="00AF4B03" w:rsidRPr="00254390" w:rsidRDefault="00AF4B03" w:rsidP="00AF4B03">
      <w:pPr>
        <w:pStyle w:val="xmsonormal"/>
        <w:numPr>
          <w:ilvl w:val="0"/>
          <w:numId w:val="7"/>
        </w:numPr>
        <w:spacing w:line="360" w:lineRule="auto"/>
        <w:ind w:left="0" w:firstLine="0"/>
        <w:jc w:val="both"/>
        <w:rPr>
          <w:i/>
          <w:color w:val="000000"/>
        </w:rPr>
      </w:pPr>
      <w:r w:rsidRPr="00254390">
        <w:rPr>
          <w:rFonts w:eastAsia="Times New Roman"/>
          <w:i/>
        </w:rPr>
        <w:t>Referring to the BDS 20.2 - kindly ask to explain the definition of "written confirmation of authorization". Should we understand this - all documents for bid purpose must be validated and dully signed by company's director or president, or the Bidder must prepare the special letter with some certain content?</w:t>
      </w:r>
      <w:r w:rsidRPr="00254390">
        <w:rPr>
          <w:rFonts w:eastAsia="Times New Roman"/>
          <w:i/>
        </w:rPr>
        <w:br/>
        <w:t>Please specify, if yes.</w:t>
      </w:r>
    </w:p>
    <w:p w:rsidR="00AF4B03" w:rsidRPr="00A93DE0" w:rsidRDefault="00AF4B03" w:rsidP="00AF4B03">
      <w:pPr>
        <w:pStyle w:val="xmsonormal"/>
        <w:spacing w:line="360" w:lineRule="auto"/>
        <w:jc w:val="both"/>
        <w:rPr>
          <w:rFonts w:eastAsia="Times New Roman"/>
          <w:i/>
        </w:rPr>
      </w:pPr>
      <w:r w:rsidRPr="00A93DE0">
        <w:rPr>
          <w:rFonts w:eastAsia="Times New Roman"/>
          <w:b/>
          <w:i/>
          <w:u w:val="single"/>
        </w:rPr>
        <w:t>Respond (1</w:t>
      </w:r>
      <w:proofErr w:type="gramStart"/>
      <w:r w:rsidRPr="00A93DE0">
        <w:rPr>
          <w:rFonts w:eastAsia="Times New Roman"/>
          <w:b/>
          <w:i/>
          <w:u w:val="single"/>
        </w:rPr>
        <w:t>;2</w:t>
      </w:r>
      <w:proofErr w:type="gramEnd"/>
      <w:r w:rsidRPr="00A93DE0">
        <w:rPr>
          <w:rFonts w:eastAsia="Times New Roman"/>
          <w:b/>
          <w:i/>
          <w:u w:val="single"/>
        </w:rPr>
        <w:t>):</w:t>
      </w:r>
      <w:r w:rsidRPr="00A93DE0">
        <w:rPr>
          <w:rFonts w:eastAsia="Times New Roman"/>
          <w:i/>
        </w:rPr>
        <w:t xml:space="preserve"> </w:t>
      </w:r>
      <w:r w:rsidRPr="00254390">
        <w:rPr>
          <w:rFonts w:eastAsia="Times New Roman"/>
        </w:rPr>
        <w:t>Please refer about details from Section I. Instruction to Bidders (A. General)</w:t>
      </w:r>
      <w:r w:rsidR="00A45278" w:rsidRPr="00254390">
        <w:rPr>
          <w:rFonts w:eastAsia="Times New Roman"/>
        </w:rPr>
        <w:t>.</w:t>
      </w:r>
    </w:p>
    <w:p w:rsidR="00AF4B03" w:rsidRPr="00254390" w:rsidRDefault="00AF4B03" w:rsidP="00AF4B03">
      <w:pPr>
        <w:pStyle w:val="xmsonormal"/>
        <w:spacing w:line="360" w:lineRule="auto"/>
        <w:jc w:val="both"/>
        <w:rPr>
          <w:rStyle w:val="Strong"/>
          <w:rFonts w:eastAsia="Times New Roman"/>
          <w:b w:val="0"/>
          <w:bCs w:val="0"/>
          <w:i/>
          <w:iCs/>
        </w:rPr>
      </w:pPr>
      <w:r w:rsidRPr="00254390">
        <w:rPr>
          <w:b/>
          <w:i/>
          <w:u w:val="single"/>
        </w:rPr>
        <w:t>Inquiry:</w:t>
      </w:r>
    </w:p>
    <w:p w:rsidR="00AF4B03" w:rsidRPr="00254390" w:rsidRDefault="00AF4B03" w:rsidP="00AF4B03">
      <w:pPr>
        <w:pStyle w:val="xmsonormal"/>
        <w:numPr>
          <w:ilvl w:val="0"/>
          <w:numId w:val="7"/>
        </w:numPr>
        <w:spacing w:line="360" w:lineRule="auto"/>
        <w:ind w:left="0" w:firstLine="0"/>
        <w:jc w:val="both"/>
        <w:rPr>
          <w:i/>
          <w:color w:val="000000"/>
        </w:rPr>
      </w:pPr>
      <w:r w:rsidRPr="00254390">
        <w:rPr>
          <w:i/>
          <w:color w:val="000000"/>
        </w:rPr>
        <w:t>Do we need to provide the copies of training certificates of engineers along with other documents?</w:t>
      </w:r>
    </w:p>
    <w:p w:rsidR="00867888" w:rsidRPr="00867888" w:rsidRDefault="00DE02B0" w:rsidP="00AF4B03">
      <w:pPr>
        <w:pStyle w:val="xmsonormal"/>
        <w:spacing w:line="360" w:lineRule="auto"/>
        <w:jc w:val="both"/>
        <w:rPr>
          <w:color w:val="000000"/>
        </w:rPr>
      </w:pPr>
      <w:r w:rsidRPr="00A93DE0">
        <w:rPr>
          <w:b/>
          <w:i/>
          <w:color w:val="000000"/>
          <w:u w:val="single"/>
        </w:rPr>
        <w:t>Respond (3):</w:t>
      </w:r>
      <w:r w:rsidR="00867888" w:rsidRPr="00867888">
        <w:rPr>
          <w:color w:val="000000"/>
        </w:rPr>
        <w:t xml:space="preserve"> </w:t>
      </w:r>
      <w:r w:rsidR="00B11B8D" w:rsidRPr="00AF4B03">
        <w:rPr>
          <w:rFonts w:eastAsia="Times New Roman"/>
        </w:rPr>
        <w:t xml:space="preserve">Please refer </w:t>
      </w:r>
      <w:r w:rsidR="00944B20">
        <w:rPr>
          <w:rFonts w:eastAsia="Times New Roman"/>
        </w:rPr>
        <w:t>from</w:t>
      </w:r>
      <w:r w:rsidR="00B11B8D">
        <w:rPr>
          <w:rFonts w:eastAsia="Times New Roman"/>
        </w:rPr>
        <w:t xml:space="preserve"> Section III. </w:t>
      </w:r>
      <w:proofErr w:type="gramStart"/>
      <w:r w:rsidR="00B11B8D">
        <w:rPr>
          <w:rFonts w:eastAsia="Times New Roman"/>
        </w:rPr>
        <w:t>Evaluation and Qualification criteria, also ITB 11.1 (j).</w:t>
      </w:r>
      <w:proofErr w:type="gramEnd"/>
      <w:r w:rsidR="00867888" w:rsidRPr="00867888">
        <w:rPr>
          <w:color w:val="000000"/>
        </w:rPr>
        <w:t xml:space="preserve"> </w:t>
      </w:r>
    </w:p>
    <w:p w:rsidR="00867888" w:rsidRPr="00254390" w:rsidRDefault="00867888" w:rsidP="00867888">
      <w:pPr>
        <w:pStyle w:val="xmsonormal"/>
        <w:spacing w:line="360" w:lineRule="auto"/>
        <w:jc w:val="both"/>
        <w:rPr>
          <w:rStyle w:val="Strong"/>
          <w:rFonts w:eastAsia="Times New Roman"/>
          <w:b w:val="0"/>
          <w:bCs w:val="0"/>
          <w:i/>
          <w:iCs/>
          <w:u w:val="single"/>
        </w:rPr>
      </w:pPr>
      <w:r w:rsidRPr="00254390">
        <w:rPr>
          <w:b/>
          <w:i/>
          <w:u w:val="single"/>
        </w:rPr>
        <w:t>Inquiry:</w:t>
      </w:r>
    </w:p>
    <w:p w:rsidR="00AF4B03" w:rsidRPr="00254390" w:rsidRDefault="00AF4B03" w:rsidP="00AF4B03">
      <w:pPr>
        <w:pStyle w:val="xmsonormal"/>
        <w:numPr>
          <w:ilvl w:val="0"/>
          <w:numId w:val="7"/>
        </w:numPr>
        <w:spacing w:line="360" w:lineRule="auto"/>
        <w:ind w:left="0" w:firstLine="0"/>
        <w:jc w:val="both"/>
        <w:rPr>
          <w:i/>
          <w:color w:val="000000"/>
        </w:rPr>
      </w:pPr>
      <w:r w:rsidRPr="00254390">
        <w:rPr>
          <w:i/>
          <w:color w:val="000000"/>
        </w:rPr>
        <w:t xml:space="preserve">What if the offered product has completely different working principles will it be defined as non-compliance? For example: analyzing method of Chemistry analyzer, OR Main lamp in Video </w:t>
      </w:r>
      <w:proofErr w:type="spellStart"/>
      <w:r w:rsidR="003505E6" w:rsidRPr="00254390">
        <w:rPr>
          <w:i/>
          <w:color w:val="000000"/>
        </w:rPr>
        <w:t>gastroscope</w:t>
      </w:r>
      <w:proofErr w:type="spellEnd"/>
      <w:r w:rsidRPr="00254390">
        <w:rPr>
          <w:i/>
          <w:color w:val="000000"/>
        </w:rPr>
        <w:t>. This can consequently cause other additional differences.</w:t>
      </w:r>
    </w:p>
    <w:p w:rsidR="00867888" w:rsidRPr="00867888" w:rsidRDefault="00F829D4" w:rsidP="00867888">
      <w:pPr>
        <w:autoSpaceDE w:val="0"/>
        <w:autoSpaceDN w:val="0"/>
        <w:adjustRightInd w:val="0"/>
        <w:spacing w:after="240" w:line="360" w:lineRule="auto"/>
        <w:jc w:val="both"/>
        <w:rPr>
          <w:iCs/>
          <w:color w:val="000000"/>
          <w:sz w:val="24"/>
          <w:szCs w:val="24"/>
        </w:rPr>
      </w:pPr>
      <w:r w:rsidRPr="0086788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Respond:</w:t>
      </w:r>
      <w:r w:rsidR="00867888" w:rsidRPr="008678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4390" w:rsidRPr="00254390">
        <w:rPr>
          <w:rFonts w:ascii="Times New Roman" w:hAnsi="Times New Roman" w:cs="Times New Roman"/>
          <w:color w:val="000000"/>
          <w:sz w:val="24"/>
          <w:szCs w:val="24"/>
        </w:rPr>
        <w:t>The Purchaser shall examine the technical aspects of the bid  submitted in accordance with ITB 16 and ITB 17, in particular, to confirm that all requirements of Section VII</w:t>
      </w:r>
      <w:r w:rsidR="00254390">
        <w:rPr>
          <w:rFonts w:ascii="Times New Roman" w:hAnsi="Times New Roman" w:cs="Times New Roman"/>
          <w:color w:val="000000"/>
          <w:sz w:val="24"/>
          <w:szCs w:val="24"/>
        </w:rPr>
        <w:t xml:space="preserve"> (Including technical specifications)</w:t>
      </w:r>
      <w:r w:rsidR="00254390" w:rsidRPr="002543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543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54390" w:rsidRPr="00254390">
        <w:rPr>
          <w:rFonts w:ascii="Times New Roman" w:hAnsi="Times New Roman" w:cs="Times New Roman"/>
          <w:color w:val="000000"/>
          <w:sz w:val="24"/>
          <w:szCs w:val="24"/>
        </w:rPr>
        <w:t>chedule of Requirements have been met without any material deviation or reservation, or omission.</w:t>
      </w:r>
    </w:p>
    <w:sectPr w:rsidR="00867888" w:rsidRPr="00867888" w:rsidSect="00160D5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ussian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B98"/>
    <w:multiLevelType w:val="hybridMultilevel"/>
    <w:tmpl w:val="2E6C40D0"/>
    <w:lvl w:ilvl="0" w:tplc="4748F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6599"/>
    <w:multiLevelType w:val="hybridMultilevel"/>
    <w:tmpl w:val="10ECA49C"/>
    <w:lvl w:ilvl="0" w:tplc="882685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5356"/>
    <w:multiLevelType w:val="hybridMultilevel"/>
    <w:tmpl w:val="6C1E2130"/>
    <w:lvl w:ilvl="0" w:tplc="42CCE38E">
      <w:start w:val="1"/>
      <w:numFmt w:val="decimal"/>
      <w:lvlText w:val="%1."/>
      <w:lvlJc w:val="left"/>
      <w:pPr>
        <w:ind w:left="720" w:hanging="360"/>
      </w:pPr>
      <w:rPr>
        <w:rFonts w:ascii="Russian Times" w:hAnsi="Russian 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06D0"/>
    <w:multiLevelType w:val="hybridMultilevel"/>
    <w:tmpl w:val="05783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F5A4D"/>
    <w:multiLevelType w:val="multilevel"/>
    <w:tmpl w:val="E52C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D45F2"/>
    <w:multiLevelType w:val="hybridMultilevel"/>
    <w:tmpl w:val="168A2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3309"/>
    <w:multiLevelType w:val="multilevel"/>
    <w:tmpl w:val="42F4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7"/>
    <w:rsid w:val="00160D57"/>
    <w:rsid w:val="001E717B"/>
    <w:rsid w:val="00254390"/>
    <w:rsid w:val="002F6AE8"/>
    <w:rsid w:val="003505E6"/>
    <w:rsid w:val="003E1763"/>
    <w:rsid w:val="00422ED4"/>
    <w:rsid w:val="005164C7"/>
    <w:rsid w:val="005B5C0B"/>
    <w:rsid w:val="006440F7"/>
    <w:rsid w:val="007D457E"/>
    <w:rsid w:val="00867888"/>
    <w:rsid w:val="00944B20"/>
    <w:rsid w:val="00947970"/>
    <w:rsid w:val="009D351A"/>
    <w:rsid w:val="00A45278"/>
    <w:rsid w:val="00A74709"/>
    <w:rsid w:val="00A93DE0"/>
    <w:rsid w:val="00AF4B03"/>
    <w:rsid w:val="00B11B8D"/>
    <w:rsid w:val="00C85FE0"/>
    <w:rsid w:val="00D714C0"/>
    <w:rsid w:val="00DE02B0"/>
    <w:rsid w:val="00EA3C53"/>
    <w:rsid w:val="00F6136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D57"/>
    <w:rPr>
      <w:color w:val="0563C1"/>
      <w:u w:val="single"/>
    </w:rPr>
  </w:style>
  <w:style w:type="paragraph" w:customStyle="1" w:styleId="Default">
    <w:name w:val="Default"/>
    <w:basedOn w:val="Normal"/>
    <w:rsid w:val="00160D57"/>
    <w:pPr>
      <w:autoSpaceDE w:val="0"/>
      <w:autoSpaceDN w:val="0"/>
      <w:spacing w:after="0" w:line="240" w:lineRule="auto"/>
    </w:pPr>
    <w:rPr>
      <w:rFonts w:ascii="Russian Times" w:eastAsiaTheme="minorHAnsi" w:hAnsi="Russian Times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717B"/>
    <w:rPr>
      <w:b/>
      <w:bCs/>
    </w:rPr>
  </w:style>
  <w:style w:type="paragraph" w:styleId="ListParagraph">
    <w:name w:val="List Paragraph"/>
    <w:basedOn w:val="Normal"/>
    <w:uiPriority w:val="34"/>
    <w:qFormat/>
    <w:rsid w:val="001E717B"/>
    <w:pPr>
      <w:ind w:left="720"/>
      <w:contextualSpacing/>
    </w:pPr>
  </w:style>
  <w:style w:type="paragraph" w:customStyle="1" w:styleId="xmsonormal">
    <w:name w:val="x_msonormal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D57"/>
    <w:rPr>
      <w:color w:val="0563C1"/>
      <w:u w:val="single"/>
    </w:rPr>
  </w:style>
  <w:style w:type="paragraph" w:customStyle="1" w:styleId="Default">
    <w:name w:val="Default"/>
    <w:basedOn w:val="Normal"/>
    <w:rsid w:val="00160D57"/>
    <w:pPr>
      <w:autoSpaceDE w:val="0"/>
      <w:autoSpaceDN w:val="0"/>
      <w:spacing w:after="0" w:line="240" w:lineRule="auto"/>
    </w:pPr>
    <w:rPr>
      <w:rFonts w:ascii="Russian Times" w:eastAsiaTheme="minorHAnsi" w:hAnsi="Russian Times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717B"/>
    <w:rPr>
      <w:b/>
      <w:bCs/>
    </w:rPr>
  </w:style>
  <w:style w:type="paragraph" w:styleId="ListParagraph">
    <w:name w:val="List Paragraph"/>
    <w:basedOn w:val="Normal"/>
    <w:uiPriority w:val="34"/>
    <w:qFormat/>
    <w:rsid w:val="001E717B"/>
    <w:pPr>
      <w:ind w:left="720"/>
      <w:contextualSpacing/>
    </w:pPr>
  </w:style>
  <w:style w:type="paragraph" w:customStyle="1" w:styleId="xmsonormal">
    <w:name w:val="x_msonormal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829D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AHarutyunyan</cp:lastModifiedBy>
  <cp:revision>2</cp:revision>
  <dcterms:created xsi:type="dcterms:W3CDTF">2018-01-15T13:00:00Z</dcterms:created>
  <dcterms:modified xsi:type="dcterms:W3CDTF">2018-01-15T13:00:00Z</dcterms:modified>
</cp:coreProperties>
</file>