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F26C347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1F97" w:rsidRPr="00651F97">
        <w:rPr>
          <w:rFonts w:ascii="GHEA Grapalat" w:hAnsi="GHEA Grapalat"/>
          <w:b/>
          <w:sz w:val="20"/>
          <w:lang w:val="hy-AM"/>
        </w:rPr>
        <w:t xml:space="preserve">ուսումնական ձեռնարկների պատրաստման հետ կապված ծառայությունների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8C7DC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ԻԿՎԾԻԿ-ԳՀԾՁԲ-26/19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2"/>
        <w:gridCol w:w="379"/>
        <w:gridCol w:w="1311"/>
        <w:gridCol w:w="100"/>
        <w:gridCol w:w="669"/>
        <w:gridCol w:w="15"/>
        <w:gridCol w:w="573"/>
        <w:gridCol w:w="238"/>
        <w:gridCol w:w="71"/>
        <w:gridCol w:w="815"/>
        <w:gridCol w:w="35"/>
        <w:gridCol w:w="46"/>
        <w:gridCol w:w="238"/>
        <w:gridCol w:w="907"/>
        <w:gridCol w:w="85"/>
        <w:gridCol w:w="425"/>
        <w:gridCol w:w="194"/>
        <w:gridCol w:w="326"/>
        <w:gridCol w:w="473"/>
        <w:gridCol w:w="116"/>
        <w:gridCol w:w="345"/>
        <w:gridCol w:w="15"/>
        <w:gridCol w:w="53"/>
        <w:gridCol w:w="594"/>
        <w:gridCol w:w="389"/>
        <w:gridCol w:w="163"/>
        <w:gridCol w:w="10"/>
        <w:gridCol w:w="1768"/>
        <w:gridCol w:w="413"/>
      </w:tblGrid>
      <w:tr w:rsidR="0022631D" w:rsidRPr="0022631D" w14:paraId="3BCB0F4A" w14:textId="77777777" w:rsidTr="00175A43">
        <w:trPr>
          <w:gridAfter w:val="1"/>
          <w:wAfter w:w="413" w:type="dxa"/>
          <w:trHeight w:val="54"/>
          <w:jc w:val="center"/>
        </w:trPr>
        <w:tc>
          <w:tcPr>
            <w:tcW w:w="887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3" w:type="dxa"/>
            <w:gridSpan w:val="27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175A43">
        <w:trPr>
          <w:gridAfter w:val="1"/>
          <w:wAfter w:w="413" w:type="dxa"/>
          <w:trHeight w:val="110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90" w:type="dxa"/>
            <w:gridSpan w:val="3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69" w:type="dxa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5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29" w:type="dxa"/>
            <w:gridSpan w:val="9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2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175A43">
        <w:trPr>
          <w:gridAfter w:val="1"/>
          <w:wAfter w:w="413" w:type="dxa"/>
          <w:trHeight w:val="61"/>
          <w:jc w:val="center"/>
        </w:trPr>
        <w:tc>
          <w:tcPr>
            <w:tcW w:w="887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2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29" w:type="dxa"/>
            <w:gridSpan w:val="9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12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8C7DC6">
        <w:trPr>
          <w:gridAfter w:val="1"/>
          <w:wAfter w:w="413" w:type="dxa"/>
          <w:trHeight w:val="394"/>
          <w:jc w:val="center"/>
        </w:trPr>
        <w:tc>
          <w:tcPr>
            <w:tcW w:w="8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12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790D" w:rsidRPr="008C7DC6" w14:paraId="5538F979" w14:textId="77777777" w:rsidTr="008C7DC6">
        <w:trPr>
          <w:gridAfter w:val="1"/>
          <w:wAfter w:w="413" w:type="dxa"/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CFFC7D2" w14:textId="77777777" w:rsidR="007C790D" w:rsidRPr="0023741A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7BA1AF1C" w14:textId="649C02BB" w:rsidR="007C790D" w:rsidRPr="007B07EC" w:rsidRDefault="00651F97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51F97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04C7ADB3" w14:textId="5B16296B" w:rsidR="007C790D" w:rsidRPr="003E57A6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B5F6E7C" w14:textId="000DFD6C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71E8FAC" w14:textId="5D6A5425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vAlign w:val="center"/>
          </w:tcPr>
          <w:p w14:paraId="0A7A8072" w14:textId="48503D08" w:rsidR="007C790D" w:rsidRPr="004502EC" w:rsidRDefault="008C7DC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 w:rsidR="00652C5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189E496B" w14:textId="2937F764" w:rsidR="007C790D" w:rsidRPr="004502EC" w:rsidRDefault="008C7DC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vAlign w:val="center"/>
          </w:tcPr>
          <w:p w14:paraId="0B734399" w14:textId="6A0C5726" w:rsidR="007C790D" w:rsidRPr="00B33B1E" w:rsidRDefault="00B33B1E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1)</w:t>
            </w:r>
          </w:p>
        </w:tc>
        <w:tc>
          <w:tcPr>
            <w:tcW w:w="1941" w:type="dxa"/>
            <w:gridSpan w:val="3"/>
            <w:tcBorders>
              <w:bottom w:val="single" w:sz="8" w:space="0" w:color="auto"/>
            </w:tcBorders>
            <w:vAlign w:val="center"/>
          </w:tcPr>
          <w:p w14:paraId="5FF5011F" w14:textId="194FFC2A" w:rsidR="007C790D" w:rsidRPr="00D90C3B" w:rsidRDefault="00B33B1E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1)</w:t>
            </w:r>
          </w:p>
        </w:tc>
      </w:tr>
      <w:tr w:rsidR="00651F97" w:rsidRPr="008C7DC6" w14:paraId="70A8F2DC" w14:textId="77777777" w:rsidTr="008C7DC6">
        <w:trPr>
          <w:gridAfter w:val="1"/>
          <w:wAfter w:w="413" w:type="dxa"/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5EF28DB" w14:textId="77777777" w:rsidR="00651F97" w:rsidRPr="00D002DA" w:rsidRDefault="00651F97" w:rsidP="00651F97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72FF5AA8" w14:textId="40DB284E" w:rsidR="00651F97" w:rsidRPr="00652C53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F97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4945DE09" w14:textId="57378FA0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863D49E" w14:textId="098DCCD0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8E0609A" w14:textId="1FF6F951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vAlign w:val="center"/>
          </w:tcPr>
          <w:p w14:paraId="62E6DE6B" w14:textId="30EC7189" w:rsidR="00651F97" w:rsidRDefault="008C7DC6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4DEF8CFB" w14:textId="0CCFD557" w:rsidR="00651F97" w:rsidRDefault="008C7DC6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vAlign w:val="center"/>
          </w:tcPr>
          <w:p w14:paraId="7A00586A" w14:textId="24AD88BA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2)</w:t>
            </w:r>
          </w:p>
        </w:tc>
        <w:tc>
          <w:tcPr>
            <w:tcW w:w="1941" w:type="dxa"/>
            <w:gridSpan w:val="3"/>
            <w:tcBorders>
              <w:bottom w:val="single" w:sz="8" w:space="0" w:color="auto"/>
            </w:tcBorders>
            <w:vAlign w:val="center"/>
          </w:tcPr>
          <w:p w14:paraId="7A4CD589" w14:textId="64B2268E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2)</w:t>
            </w:r>
          </w:p>
        </w:tc>
      </w:tr>
      <w:tr w:rsidR="00651F97" w:rsidRPr="008C7DC6" w14:paraId="06E4EFB3" w14:textId="77777777" w:rsidTr="008C7DC6">
        <w:trPr>
          <w:gridAfter w:val="1"/>
          <w:wAfter w:w="413" w:type="dxa"/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2C7E2555" w14:textId="77777777" w:rsidR="00651F97" w:rsidRPr="00D002DA" w:rsidRDefault="00651F97" w:rsidP="00651F97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7E6B00E5" w14:textId="7DC8186C" w:rsidR="00651F97" w:rsidRPr="00652C53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F97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6A0E5B48" w14:textId="57E812B9" w:rsidR="00651F97" w:rsidRDefault="008C7DC6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3D0D05E" w14:textId="365A1451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CD67F9D" w14:textId="38CA42D7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vAlign w:val="center"/>
          </w:tcPr>
          <w:p w14:paraId="0BEA7F3B" w14:textId="2E35BC77" w:rsidR="00651F97" w:rsidRDefault="008C7DC6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3E1FC211" w14:textId="3709E2CE" w:rsidR="00651F97" w:rsidRDefault="008C7DC6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vAlign w:val="center"/>
          </w:tcPr>
          <w:p w14:paraId="6364D287" w14:textId="2BDF59AE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3)</w:t>
            </w:r>
          </w:p>
        </w:tc>
        <w:tc>
          <w:tcPr>
            <w:tcW w:w="1941" w:type="dxa"/>
            <w:gridSpan w:val="3"/>
            <w:tcBorders>
              <w:bottom w:val="single" w:sz="8" w:space="0" w:color="auto"/>
            </w:tcBorders>
            <w:vAlign w:val="center"/>
          </w:tcPr>
          <w:p w14:paraId="2DED6268" w14:textId="3C882D4C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3)</w:t>
            </w:r>
          </w:p>
        </w:tc>
      </w:tr>
      <w:tr w:rsidR="00651F97" w:rsidRPr="008C7DC6" w14:paraId="4B8BC031" w14:textId="77777777" w:rsidTr="00175A43">
        <w:trPr>
          <w:gridAfter w:val="1"/>
          <w:wAfter w:w="413" w:type="dxa"/>
          <w:trHeight w:val="169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451180EC" w14:textId="1D73A586" w:rsidR="00651F97" w:rsidRPr="004F41A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24C3B0CB" w14:textId="77777777" w:rsidTr="00175A43">
        <w:trPr>
          <w:gridAfter w:val="1"/>
          <w:wAfter w:w="413" w:type="dxa"/>
          <w:trHeight w:val="137"/>
          <w:jc w:val="center"/>
        </w:trPr>
        <w:tc>
          <w:tcPr>
            <w:tcW w:w="4243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651F97" w:rsidRPr="00123EC2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97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48194A9A" w:rsidR="00651F97" w:rsidRPr="00123EC2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51F97" w:rsidRPr="008C7DC6" w14:paraId="075EEA57" w14:textId="77777777" w:rsidTr="00175A43">
        <w:trPr>
          <w:gridAfter w:val="1"/>
          <w:wAfter w:w="413" w:type="dxa"/>
          <w:trHeight w:val="196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51F97" w:rsidRPr="00123EC2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681596E8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13" w:type="dxa"/>
          <w:trHeight w:val="155"/>
          <w:jc w:val="center"/>
        </w:trPr>
        <w:tc>
          <w:tcPr>
            <w:tcW w:w="67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5E9ED99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C7D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199F948A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9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3FE412E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9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51F97" w:rsidRPr="0022631D" w14:paraId="321D26CF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9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30B89418" w14:textId="77777777" w:rsidTr="00175A43">
        <w:trPr>
          <w:gridAfter w:val="1"/>
          <w:wAfter w:w="413" w:type="dxa"/>
          <w:trHeight w:val="54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70776DB4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0DC4861" w14:textId="77777777" w:rsidTr="00175A43">
        <w:trPr>
          <w:gridAfter w:val="1"/>
          <w:wAfter w:w="413" w:type="dxa"/>
          <w:trHeight w:val="605"/>
          <w:jc w:val="center"/>
        </w:trPr>
        <w:tc>
          <w:tcPr>
            <w:tcW w:w="1266" w:type="dxa"/>
            <w:gridSpan w:val="3"/>
            <w:vMerge w:val="restart"/>
            <w:vAlign w:val="center"/>
          </w:tcPr>
          <w:p w14:paraId="34162061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7" w:type="dxa"/>
            <w:gridSpan w:val="7"/>
            <w:vMerge w:val="restart"/>
            <w:vAlign w:val="center"/>
          </w:tcPr>
          <w:p w14:paraId="4FE503E7" w14:textId="29F83DA2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97" w:type="dxa"/>
            <w:gridSpan w:val="19"/>
            <w:vAlign w:val="center"/>
          </w:tcPr>
          <w:p w14:paraId="1FD38684" w14:textId="7514925B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1F97" w:rsidRPr="0022631D" w14:paraId="3FD00E3A" w14:textId="77777777" w:rsidTr="00175A43">
        <w:trPr>
          <w:gridAfter w:val="1"/>
          <w:wAfter w:w="413" w:type="dxa"/>
          <w:trHeight w:val="365"/>
          <w:jc w:val="center"/>
        </w:trPr>
        <w:tc>
          <w:tcPr>
            <w:tcW w:w="1266" w:type="dxa"/>
            <w:gridSpan w:val="3"/>
            <w:vMerge/>
            <w:vAlign w:val="center"/>
          </w:tcPr>
          <w:p w14:paraId="67E5DBF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vMerge/>
            <w:vAlign w:val="center"/>
          </w:tcPr>
          <w:p w14:paraId="7835142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27542D6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454" w:type="dxa"/>
            <w:gridSpan w:val="5"/>
            <w:vAlign w:val="center"/>
          </w:tcPr>
          <w:p w14:paraId="635EE2F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92" w:type="dxa"/>
            <w:gridSpan w:val="7"/>
            <w:vAlign w:val="center"/>
          </w:tcPr>
          <w:p w14:paraId="4A371FE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51F97" w:rsidRPr="0022631D" w14:paraId="4DA511EC" w14:textId="77777777" w:rsidTr="00175A43">
        <w:trPr>
          <w:gridAfter w:val="1"/>
          <w:wAfter w:w="413" w:type="dxa"/>
          <w:trHeight w:val="83"/>
          <w:jc w:val="center"/>
        </w:trPr>
        <w:tc>
          <w:tcPr>
            <w:tcW w:w="1266" w:type="dxa"/>
            <w:gridSpan w:val="3"/>
            <w:vAlign w:val="center"/>
          </w:tcPr>
          <w:p w14:paraId="5DBE5B3F" w14:textId="2C68C9A2" w:rsidR="00651F97" w:rsidRPr="00481044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74" w:type="dxa"/>
            <w:gridSpan w:val="26"/>
            <w:vAlign w:val="center"/>
          </w:tcPr>
          <w:p w14:paraId="6ABF72D4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51F97" w:rsidRPr="0022631D" w14:paraId="4D87EBE3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42C81412" w14:textId="34D0724C" w:rsidR="00651F97" w:rsidRPr="00047E3E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7"/>
            <w:vAlign w:val="center"/>
          </w:tcPr>
          <w:p w14:paraId="5A98FFA4" w14:textId="2C333DB2" w:rsidR="00651F97" w:rsidRPr="004F4802" w:rsidRDefault="00451617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Գայանե Ռուբիկի Հովակիմյան</w:t>
            </w:r>
          </w:p>
        </w:tc>
        <w:tc>
          <w:tcPr>
            <w:tcW w:w="2551" w:type="dxa"/>
            <w:gridSpan w:val="7"/>
            <w:vAlign w:val="center"/>
          </w:tcPr>
          <w:p w14:paraId="3A9425C6" w14:textId="6EC23F46" w:rsidR="00651F97" w:rsidRPr="00D002DA" w:rsidRDefault="008C7DC6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469" w:type="dxa"/>
            <w:gridSpan w:val="6"/>
            <w:vAlign w:val="center"/>
          </w:tcPr>
          <w:p w14:paraId="6079E5AF" w14:textId="06944945" w:rsidR="00651F97" w:rsidRPr="001C00B9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77" w:type="dxa"/>
            <w:gridSpan w:val="6"/>
            <w:vAlign w:val="center"/>
          </w:tcPr>
          <w:p w14:paraId="10B6BD46" w14:textId="4D452F90" w:rsidR="00651F97" w:rsidRPr="001C00B9" w:rsidRDefault="008C7DC6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</w:tr>
      <w:tr w:rsidR="00651F97" w:rsidRPr="0022631D" w14:paraId="7049AC9C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71F337EF" w14:textId="4B858924" w:rsidR="00651F97" w:rsidRPr="00D002DA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977" w:type="dxa"/>
            <w:gridSpan w:val="7"/>
            <w:vAlign w:val="center"/>
          </w:tcPr>
          <w:p w14:paraId="1AB5D253" w14:textId="77777777" w:rsidR="00651F97" w:rsidRPr="005D7897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4C526F6D" w14:textId="77777777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  <w:gridSpan w:val="6"/>
            <w:vAlign w:val="center"/>
          </w:tcPr>
          <w:p w14:paraId="1189880F" w14:textId="77777777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4356AA8" w14:textId="77777777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51F97" w:rsidRPr="0022631D" w14:paraId="4877C978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0E5C7712" w14:textId="5CEB11DA" w:rsidR="00651F97" w:rsidRPr="00D002DA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7"/>
            <w:vAlign w:val="center"/>
          </w:tcPr>
          <w:p w14:paraId="0C50AFEE" w14:textId="4DD716E8" w:rsidR="00651F97" w:rsidRPr="005D7897" w:rsidRDefault="00451617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Դավիթ Էմիլի Գևորգյան</w:t>
            </w:r>
          </w:p>
        </w:tc>
        <w:tc>
          <w:tcPr>
            <w:tcW w:w="2551" w:type="dxa"/>
            <w:gridSpan w:val="7"/>
            <w:vAlign w:val="center"/>
          </w:tcPr>
          <w:p w14:paraId="0E79EE64" w14:textId="65070EA7" w:rsidR="00651F97" w:rsidRDefault="008C7DC6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469" w:type="dxa"/>
            <w:gridSpan w:val="6"/>
            <w:vAlign w:val="center"/>
          </w:tcPr>
          <w:p w14:paraId="76BB3D41" w14:textId="76E152F6" w:rsidR="00651F97" w:rsidRPr="00D002DA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977" w:type="dxa"/>
            <w:gridSpan w:val="6"/>
            <w:vAlign w:val="center"/>
          </w:tcPr>
          <w:p w14:paraId="0829D908" w14:textId="1632AF27" w:rsidR="00651F97" w:rsidRDefault="008C7DC6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</w:tr>
      <w:tr w:rsidR="00B33B1E" w:rsidRPr="0022631D" w14:paraId="5EE62FC2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0D633252" w14:textId="42777990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977" w:type="dxa"/>
            <w:gridSpan w:val="7"/>
            <w:vAlign w:val="center"/>
          </w:tcPr>
          <w:p w14:paraId="318E31E8" w14:textId="77777777" w:rsidR="00B33B1E" w:rsidRPr="00D002DA" w:rsidRDefault="00B33B1E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371D5B03" w14:textId="7777777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  <w:gridSpan w:val="6"/>
            <w:vAlign w:val="center"/>
          </w:tcPr>
          <w:p w14:paraId="7C3951BC" w14:textId="7777777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3E019CB9" w14:textId="7777777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33B1E" w:rsidRPr="0022631D" w14:paraId="278EE5E0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32CF4F01" w14:textId="7C7F64CC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7"/>
            <w:vAlign w:val="center"/>
          </w:tcPr>
          <w:p w14:paraId="5616B839" w14:textId="78EAEEC1" w:rsidR="00B33B1E" w:rsidRPr="00D002DA" w:rsidRDefault="00451617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Հարություն Վահանի Սիմոնյան</w:t>
            </w:r>
          </w:p>
        </w:tc>
        <w:tc>
          <w:tcPr>
            <w:tcW w:w="2551" w:type="dxa"/>
            <w:gridSpan w:val="7"/>
            <w:vAlign w:val="center"/>
          </w:tcPr>
          <w:p w14:paraId="40A63AE6" w14:textId="1D9359D2" w:rsidR="00B33B1E" w:rsidRDefault="008C7DC6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469" w:type="dxa"/>
            <w:gridSpan w:val="6"/>
            <w:vAlign w:val="center"/>
          </w:tcPr>
          <w:p w14:paraId="442E5B60" w14:textId="0A606D1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977" w:type="dxa"/>
            <w:gridSpan w:val="6"/>
            <w:vAlign w:val="center"/>
          </w:tcPr>
          <w:p w14:paraId="41745934" w14:textId="72456221" w:rsidR="00B33B1E" w:rsidRDefault="008C7DC6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</w:tr>
      <w:bookmarkEnd w:id="0"/>
      <w:tr w:rsidR="00651F97" w:rsidRPr="006D1290" w14:paraId="700CD07F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651F97" w:rsidRPr="006D1290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521126E1" w14:textId="77777777" w:rsidTr="00175A43">
        <w:trPr>
          <w:gridAfter w:val="1"/>
          <w:wAfter w:w="413" w:type="dxa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vAlign w:val="center"/>
          </w:tcPr>
          <w:p w14:paraId="36A77A7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51F97" w:rsidRPr="0022631D" w14:paraId="552679BF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vMerge w:val="restart"/>
            <w:vAlign w:val="center"/>
          </w:tcPr>
          <w:p w14:paraId="770D59C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2" w:type="dxa"/>
            <w:gridSpan w:val="4"/>
            <w:vMerge w:val="restart"/>
            <w:vAlign w:val="center"/>
          </w:tcPr>
          <w:p w14:paraId="563B2C65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63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51F97" w:rsidRPr="0022631D" w14:paraId="3CA6FABC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24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51F97" w:rsidRPr="0022631D" w14:paraId="5E96A1C5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tcBorders>
              <w:bottom w:val="single" w:sz="8" w:space="0" w:color="auto"/>
            </w:tcBorders>
          </w:tcPr>
          <w:p w14:paraId="6CEDE0A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</w:tcPr>
          <w:p w14:paraId="7CD1451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</w:tcPr>
          <w:p w14:paraId="03550B2F" w14:textId="13081A75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</w:tcPr>
          <w:p w14:paraId="709AAC9D" w14:textId="5FA689FA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9"/>
            <w:tcBorders>
              <w:bottom w:val="single" w:sz="8" w:space="0" w:color="auto"/>
            </w:tcBorders>
          </w:tcPr>
          <w:p w14:paraId="78DCF91F" w14:textId="78EAB820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4" w:type="dxa"/>
            <w:gridSpan w:val="5"/>
            <w:tcBorders>
              <w:bottom w:val="single" w:sz="8" w:space="0" w:color="auto"/>
            </w:tcBorders>
          </w:tcPr>
          <w:p w14:paraId="504E155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522ACAFB" w14:textId="77777777" w:rsidTr="00175A43">
        <w:trPr>
          <w:gridAfter w:val="1"/>
          <w:wAfter w:w="413" w:type="dxa"/>
          <w:trHeight w:val="331"/>
          <w:jc w:val="center"/>
        </w:trPr>
        <w:tc>
          <w:tcPr>
            <w:tcW w:w="2677" w:type="dxa"/>
            <w:gridSpan w:val="5"/>
            <w:vAlign w:val="center"/>
          </w:tcPr>
          <w:p w14:paraId="514F7E40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3" w:type="dxa"/>
            <w:gridSpan w:val="24"/>
            <w:vAlign w:val="center"/>
          </w:tcPr>
          <w:p w14:paraId="71AB42B3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51F97" w:rsidRPr="0022631D" w14:paraId="617248CD" w14:textId="77777777" w:rsidTr="00175A43">
        <w:trPr>
          <w:gridAfter w:val="1"/>
          <w:wAfter w:w="413" w:type="dxa"/>
          <w:trHeight w:val="289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515C769" w14:textId="77777777" w:rsidTr="00175A43">
        <w:trPr>
          <w:gridAfter w:val="1"/>
          <w:wAfter w:w="413" w:type="dxa"/>
          <w:trHeight w:val="346"/>
          <w:jc w:val="center"/>
        </w:trPr>
        <w:tc>
          <w:tcPr>
            <w:tcW w:w="513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532CB62C" w:rsidR="00651F97" w:rsidRPr="0022631D" w:rsidRDefault="005F38B3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71BEA872" w14:textId="77777777" w:rsidTr="00175A43">
        <w:trPr>
          <w:gridAfter w:val="1"/>
          <w:wAfter w:w="413" w:type="dxa"/>
          <w:trHeight w:val="92"/>
          <w:jc w:val="center"/>
        </w:trPr>
        <w:tc>
          <w:tcPr>
            <w:tcW w:w="5139" w:type="dxa"/>
            <w:gridSpan w:val="13"/>
            <w:vMerge w:val="restart"/>
            <w:vAlign w:val="center"/>
          </w:tcPr>
          <w:p w14:paraId="7F8FD238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40689A54" w:rsidR="00651F97" w:rsidRPr="0022631D" w:rsidRDefault="00651F97" w:rsidP="00651F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7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51F97" w:rsidRPr="00D002DA" w14:paraId="04C80107" w14:textId="43E1B422" w:rsidTr="00175A43">
        <w:trPr>
          <w:gridAfter w:val="1"/>
          <w:wAfter w:w="413" w:type="dxa"/>
          <w:trHeight w:val="322"/>
          <w:jc w:val="center"/>
        </w:trPr>
        <w:tc>
          <w:tcPr>
            <w:tcW w:w="513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64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A4499AC" w14:textId="722A38E7" w:rsidR="00651F97" w:rsidRPr="005B6029" w:rsidRDefault="007C1788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F38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337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4C8584A" w14:textId="595A02AC" w:rsidR="00651F97" w:rsidRPr="005B6029" w:rsidRDefault="007C1788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F38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5F38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D06F0" w14:paraId="2254FA5C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513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01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06DECA3" w:rsidR="00651F97" w:rsidRPr="00391252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F38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D06F0" w14:paraId="3C75DA26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5139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651F97" w:rsidRPr="002D06F0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1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4726FB41" w:rsidR="00651F97" w:rsidRPr="0070183C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0682C6BE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5139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0311927B" w:rsidR="00651F97" w:rsidRPr="0070183C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- 11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79A64497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620F225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4E4EA255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vMerge w:val="restart"/>
            <w:vAlign w:val="center"/>
          </w:tcPr>
          <w:p w14:paraId="7AA249E4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2" w:type="dxa"/>
            <w:gridSpan w:val="4"/>
            <w:vMerge w:val="restart"/>
            <w:vAlign w:val="center"/>
          </w:tcPr>
          <w:p w14:paraId="3EF9A58A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63" w:type="dxa"/>
            <w:gridSpan w:val="24"/>
            <w:vAlign w:val="center"/>
          </w:tcPr>
          <w:p w14:paraId="0A5086C3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51F97" w:rsidRPr="0022631D" w14:paraId="11F19FA1" w14:textId="77777777" w:rsidTr="00175A43">
        <w:trPr>
          <w:gridAfter w:val="1"/>
          <w:wAfter w:w="413" w:type="dxa"/>
          <w:trHeight w:val="237"/>
          <w:jc w:val="center"/>
        </w:trPr>
        <w:tc>
          <w:tcPr>
            <w:tcW w:w="805" w:type="dxa"/>
            <w:vMerge/>
            <w:vAlign w:val="center"/>
          </w:tcPr>
          <w:p w14:paraId="39B67943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2856C5C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5"/>
            <w:vMerge w:val="restart"/>
            <w:vAlign w:val="center"/>
          </w:tcPr>
          <w:p w14:paraId="23EE0CE1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14:paraId="7E70E64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4C4044F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3" w:type="dxa"/>
            <w:gridSpan w:val="3"/>
            <w:vMerge w:val="restart"/>
            <w:vAlign w:val="center"/>
          </w:tcPr>
          <w:p w14:paraId="58A33AC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53" w:type="dxa"/>
            <w:gridSpan w:val="9"/>
            <w:vAlign w:val="center"/>
          </w:tcPr>
          <w:p w14:paraId="0911FBB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51F97" w:rsidRPr="0022631D" w14:paraId="4DC53241" w14:textId="77777777" w:rsidTr="00175A43">
        <w:trPr>
          <w:gridAfter w:val="1"/>
          <w:wAfter w:w="413" w:type="dxa"/>
          <w:trHeight w:val="238"/>
          <w:jc w:val="center"/>
        </w:trPr>
        <w:tc>
          <w:tcPr>
            <w:tcW w:w="805" w:type="dxa"/>
            <w:vMerge/>
            <w:vAlign w:val="center"/>
          </w:tcPr>
          <w:p w14:paraId="7D858D4B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078A8417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5"/>
            <w:vMerge/>
            <w:vAlign w:val="center"/>
          </w:tcPr>
          <w:p w14:paraId="67FA13F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7FDD9C2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3BBD2A3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78CB50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53" w:type="dxa"/>
            <w:gridSpan w:val="9"/>
            <w:vAlign w:val="center"/>
          </w:tcPr>
          <w:p w14:paraId="3C0959C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1F97" w:rsidRPr="0022631D" w14:paraId="75FDA7D8" w14:textId="77777777" w:rsidTr="00175A43">
        <w:trPr>
          <w:gridAfter w:val="1"/>
          <w:wAfter w:w="413" w:type="dxa"/>
          <w:trHeight w:val="263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51F97" w:rsidRPr="0022631D" w14:paraId="1E28D31D" w14:textId="77777777" w:rsidTr="00175A43">
        <w:trPr>
          <w:gridAfter w:val="1"/>
          <w:wAfter w:w="413" w:type="dxa"/>
          <w:trHeight w:val="146"/>
          <w:jc w:val="center"/>
        </w:trPr>
        <w:tc>
          <w:tcPr>
            <w:tcW w:w="805" w:type="dxa"/>
            <w:vAlign w:val="center"/>
          </w:tcPr>
          <w:p w14:paraId="1F1D10DE" w14:textId="288271D7" w:rsidR="00651F97" w:rsidRPr="00B375B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2" w:type="dxa"/>
            <w:gridSpan w:val="4"/>
            <w:vAlign w:val="center"/>
          </w:tcPr>
          <w:p w14:paraId="391CD0D1" w14:textId="030508B4" w:rsidR="00651F97" w:rsidRPr="00303B44" w:rsidRDefault="005F38B3" w:rsidP="00651F9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Գայանե Ռուբիկի Հովակիմյան</w:t>
            </w:r>
          </w:p>
        </w:tc>
        <w:tc>
          <w:tcPr>
            <w:tcW w:w="1566" w:type="dxa"/>
            <w:gridSpan w:val="5"/>
            <w:vAlign w:val="center"/>
          </w:tcPr>
          <w:p w14:paraId="2183B64C" w14:textId="0BADCA0D" w:rsidR="00651F97" w:rsidRPr="00B5364B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="008C7DC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ԻԿՎԾԻԿ-ԳՀԾՁԲ-26/19</w:t>
            </w: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134" w:type="dxa"/>
            <w:gridSpan w:val="4"/>
            <w:vAlign w:val="center"/>
          </w:tcPr>
          <w:p w14:paraId="54F54951" w14:textId="7D3F0425" w:rsidR="00651F97" w:rsidRPr="0022631D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17" w:type="dxa"/>
            <w:gridSpan w:val="3"/>
            <w:vAlign w:val="center"/>
          </w:tcPr>
          <w:p w14:paraId="610A7BBF" w14:textId="665C4130" w:rsidR="00651F97" w:rsidRPr="00B375B8" w:rsidRDefault="00651F97" w:rsidP="00175A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vAlign w:val="center"/>
          </w:tcPr>
          <w:p w14:paraId="6A3A27A0" w14:textId="1E2E32DE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5" w:type="dxa"/>
            <w:gridSpan w:val="7"/>
            <w:vAlign w:val="center"/>
          </w:tcPr>
          <w:p w14:paraId="540F0BC7" w14:textId="551ABD1E" w:rsidR="00651F97" w:rsidRPr="009A6EC9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778" w:type="dxa"/>
            <w:gridSpan w:val="2"/>
            <w:vAlign w:val="center"/>
          </w:tcPr>
          <w:p w14:paraId="6043A549" w14:textId="1597A6A3" w:rsidR="00651F97" w:rsidRPr="009A6EC9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</w:tr>
      <w:tr w:rsidR="00651F97" w:rsidRPr="0022631D" w14:paraId="1DE00B0B" w14:textId="77777777" w:rsidTr="00175A43">
        <w:trPr>
          <w:gridAfter w:val="1"/>
          <w:wAfter w:w="413" w:type="dxa"/>
          <w:trHeight w:val="146"/>
          <w:jc w:val="center"/>
        </w:trPr>
        <w:tc>
          <w:tcPr>
            <w:tcW w:w="805" w:type="dxa"/>
            <w:vAlign w:val="center"/>
          </w:tcPr>
          <w:p w14:paraId="7E373D4B" w14:textId="37145FE4" w:rsidR="00651F97" w:rsidRPr="00B5364B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2" w:type="dxa"/>
            <w:gridSpan w:val="4"/>
            <w:vAlign w:val="center"/>
          </w:tcPr>
          <w:p w14:paraId="283768EC" w14:textId="0179C059" w:rsidR="00651F97" w:rsidRPr="00303B44" w:rsidRDefault="005F38B3" w:rsidP="00651F9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Դավիթ Էմիլի Գևորգյան</w:t>
            </w:r>
          </w:p>
        </w:tc>
        <w:tc>
          <w:tcPr>
            <w:tcW w:w="1566" w:type="dxa"/>
            <w:gridSpan w:val="5"/>
            <w:vAlign w:val="center"/>
          </w:tcPr>
          <w:p w14:paraId="70C0F72E" w14:textId="4A80EB22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="008C7DC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ԻԿՎԾԻԿ-ԳՀԾՁԲ-26/19</w:t>
            </w: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1134" w:type="dxa"/>
            <w:gridSpan w:val="4"/>
            <w:vAlign w:val="center"/>
          </w:tcPr>
          <w:p w14:paraId="35D78A8F" w14:textId="255AC308" w:rsidR="00651F97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F38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17" w:type="dxa"/>
            <w:gridSpan w:val="3"/>
            <w:vAlign w:val="center"/>
          </w:tcPr>
          <w:p w14:paraId="28EB6AB0" w14:textId="7C3DB815" w:rsidR="00651F97" w:rsidRDefault="00651F97" w:rsidP="00175A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vAlign w:val="center"/>
          </w:tcPr>
          <w:p w14:paraId="6A68BA80" w14:textId="138968D7" w:rsidR="00651F97" w:rsidRPr="00464F6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5" w:type="dxa"/>
            <w:gridSpan w:val="7"/>
            <w:vAlign w:val="center"/>
          </w:tcPr>
          <w:p w14:paraId="4EC7B52A" w14:textId="4047F3D9" w:rsidR="00651F97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778" w:type="dxa"/>
            <w:gridSpan w:val="2"/>
            <w:vAlign w:val="center"/>
          </w:tcPr>
          <w:p w14:paraId="5E7DDEFA" w14:textId="1C23F605" w:rsidR="00651F97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</w:tr>
      <w:tr w:rsidR="0070183C" w:rsidRPr="0022631D" w14:paraId="116B6187" w14:textId="77777777" w:rsidTr="00175A43">
        <w:trPr>
          <w:gridAfter w:val="1"/>
          <w:wAfter w:w="413" w:type="dxa"/>
          <w:trHeight w:val="146"/>
          <w:jc w:val="center"/>
        </w:trPr>
        <w:tc>
          <w:tcPr>
            <w:tcW w:w="805" w:type="dxa"/>
            <w:vAlign w:val="center"/>
          </w:tcPr>
          <w:p w14:paraId="275CBB9B" w14:textId="1B628C3C" w:rsidR="0070183C" w:rsidRPr="0070183C" w:rsidRDefault="0070183C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72" w:type="dxa"/>
            <w:gridSpan w:val="4"/>
            <w:vAlign w:val="center"/>
          </w:tcPr>
          <w:p w14:paraId="2B96022D" w14:textId="57A70379" w:rsidR="0070183C" w:rsidRPr="00D002DA" w:rsidRDefault="005F38B3" w:rsidP="00651F9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Հարություն Վահանի Սիմոնյան</w:t>
            </w:r>
          </w:p>
        </w:tc>
        <w:tc>
          <w:tcPr>
            <w:tcW w:w="1566" w:type="dxa"/>
            <w:gridSpan w:val="5"/>
            <w:vAlign w:val="center"/>
          </w:tcPr>
          <w:p w14:paraId="34DE3C29" w14:textId="1AAFE852" w:rsidR="0070183C" w:rsidRPr="0070183C" w:rsidRDefault="0070183C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="008C7DC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ԻԿՎԾԻԿ-ԳՀԾՁԲ-26/19</w:t>
            </w: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4CB6B321" w14:textId="7E4AFB61" w:rsidR="0070183C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175A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75A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75A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175A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75A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417" w:type="dxa"/>
            <w:gridSpan w:val="3"/>
            <w:vAlign w:val="center"/>
          </w:tcPr>
          <w:p w14:paraId="1802E8B6" w14:textId="66CC022D" w:rsidR="0070183C" w:rsidRDefault="00175A43" w:rsidP="00175A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vAlign w:val="center"/>
          </w:tcPr>
          <w:p w14:paraId="42A63AED" w14:textId="487359D3" w:rsidR="0070183C" w:rsidRPr="00175A43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5" w:type="dxa"/>
            <w:gridSpan w:val="7"/>
            <w:vAlign w:val="center"/>
          </w:tcPr>
          <w:p w14:paraId="7E2F6166" w14:textId="1D6B35F9" w:rsidR="0070183C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778" w:type="dxa"/>
            <w:gridSpan w:val="2"/>
            <w:vAlign w:val="center"/>
          </w:tcPr>
          <w:p w14:paraId="7AB874F2" w14:textId="33605365" w:rsidR="0070183C" w:rsidRDefault="005F38B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</w:tr>
      <w:tr w:rsidR="00651F97" w:rsidRPr="006D1290" w14:paraId="41E4ED39" w14:textId="77777777" w:rsidTr="00175A43">
        <w:trPr>
          <w:gridAfter w:val="1"/>
          <w:wAfter w:w="413" w:type="dxa"/>
          <w:trHeight w:val="150"/>
          <w:jc w:val="center"/>
        </w:trPr>
        <w:tc>
          <w:tcPr>
            <w:tcW w:w="11240" w:type="dxa"/>
            <w:gridSpan w:val="29"/>
            <w:vAlign w:val="center"/>
          </w:tcPr>
          <w:p w14:paraId="7265AE84" w14:textId="77777777" w:rsidR="00651F97" w:rsidRPr="000D605F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51F97" w:rsidRPr="0022631D" w14:paraId="1F657639" w14:textId="77777777" w:rsidTr="00F07D3D">
        <w:trPr>
          <w:gridAfter w:val="1"/>
          <w:wAfter w:w="413" w:type="dxa"/>
          <w:trHeight w:val="125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66D7382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651F97" w:rsidRPr="00A30770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6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348CFA27" w14:textId="23E0B928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07D3D" w:rsidRPr="001C15FE" w14:paraId="4E9ECFE5" w14:textId="77777777" w:rsidTr="00F07D3D">
        <w:trPr>
          <w:gridAfter w:val="1"/>
          <w:wAfter w:w="413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7D230B32" w14:textId="158C3FFC" w:rsid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44717DAB" w14:textId="603B81A8" w:rsidR="00F07D3D" w:rsidRPr="00617B96" w:rsidRDefault="00F07D3D" w:rsidP="00F07D3D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Գայանե Ռուբիկի Հովակիմյան</w:t>
            </w:r>
          </w:p>
        </w:tc>
        <w:tc>
          <w:tcPr>
            <w:tcW w:w="2416" w:type="dxa"/>
            <w:gridSpan w:val="7"/>
            <w:tcBorders>
              <w:bottom w:val="single" w:sz="8" w:space="0" w:color="auto"/>
            </w:tcBorders>
            <w:vAlign w:val="center"/>
          </w:tcPr>
          <w:p w14:paraId="6C3C7FC3" w14:textId="77777777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ք</w:t>
            </w:r>
            <w:r w:rsidRPr="00F07D3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F07D3D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Երևան, Արցախի </w:t>
            </w:r>
          </w:p>
          <w:p w14:paraId="5ED0473E" w14:textId="7749FB59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փ 8/3-20</w:t>
            </w:r>
          </w:p>
          <w:p w14:paraId="50EED061" w14:textId="0231D44F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093-36-73-04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4BCE91C" w14:textId="7563E692" w:rsidR="00F07D3D" w:rsidRPr="00F07D3D" w:rsidRDefault="00F07D3D" w:rsidP="00F07D3D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sz w:val="18"/>
                <w:szCs w:val="18"/>
                <w:u w:val="none"/>
              </w:rPr>
            </w:pPr>
            <w:r w:rsidRPr="00F07D3D">
              <w:rPr>
                <w:rStyle w:val="Hyperlink"/>
                <w:rFonts w:ascii="GHEA Grapalat" w:eastAsia="Calibri" w:hAnsi="GHEA Grapalat"/>
                <w:bCs/>
                <w:sz w:val="18"/>
                <w:szCs w:val="18"/>
                <w:u w:val="none"/>
              </w:rPr>
              <w:t>ghovakimyan@yahoo.com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47C924" w14:textId="17F9A7B8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163008318368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4930BA20" w14:textId="77777777" w:rsid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019712967</w:t>
            </w:r>
          </w:p>
          <w:p w14:paraId="72FC2831" w14:textId="1BA94E62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F07D3D" w:rsidRPr="00F07D3D" w14:paraId="31CBA73D" w14:textId="77777777" w:rsidTr="00F07D3D">
        <w:trPr>
          <w:gridAfter w:val="1"/>
          <w:wAfter w:w="413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24E461DB" w14:textId="6CDB8F26" w:rsidR="00F07D3D" w:rsidRPr="00464F68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688AC9F9" w14:textId="59C08935" w:rsidR="00F07D3D" w:rsidRPr="005D7897" w:rsidRDefault="00F07D3D" w:rsidP="00F07D3D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Դավիթ Էմիլի Գևորգյան</w:t>
            </w:r>
          </w:p>
        </w:tc>
        <w:tc>
          <w:tcPr>
            <w:tcW w:w="2416" w:type="dxa"/>
            <w:gridSpan w:val="7"/>
            <w:tcBorders>
              <w:bottom w:val="single" w:sz="8" w:space="0" w:color="auto"/>
            </w:tcBorders>
            <w:vAlign w:val="center"/>
          </w:tcPr>
          <w:p w14:paraId="05269479" w14:textId="77777777" w:rsid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F07D3D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Ավան, Քուչակ 47 բն</w:t>
            </w:r>
            <w:r w:rsidRPr="00F07D3D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18</w:t>
            </w:r>
          </w:p>
          <w:p w14:paraId="2F73573C" w14:textId="1A9CA32F" w:rsidR="00F07D3D" w:rsidRPr="00C71362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094-42-34-49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6E66359" w14:textId="04509882" w:rsidR="00F07D3D" w:rsidRPr="00464F68" w:rsidRDefault="00F07D3D" w:rsidP="00F07D3D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F07D3D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  <w:t>davgev@gmail.com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7F7E4344" w14:textId="584C8162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1570026771187700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29E78450" w14:textId="7DA3D570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014999304</w:t>
            </w:r>
          </w:p>
        </w:tc>
      </w:tr>
      <w:tr w:rsidR="00F07D3D" w:rsidRPr="00F07D3D" w14:paraId="5426711E" w14:textId="77777777" w:rsidTr="00F07D3D">
        <w:trPr>
          <w:gridAfter w:val="1"/>
          <w:wAfter w:w="413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13515AA" w14:textId="61CE6630" w:rsidR="00F07D3D" w:rsidRPr="00175A43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6C8CDABF" w14:textId="5DB74761" w:rsidR="00F07D3D" w:rsidRPr="00D002DA" w:rsidRDefault="00F07D3D" w:rsidP="00F07D3D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16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Հարություն Վահանի Սիմոնյան</w:t>
            </w:r>
          </w:p>
        </w:tc>
        <w:tc>
          <w:tcPr>
            <w:tcW w:w="2416" w:type="dxa"/>
            <w:gridSpan w:val="7"/>
            <w:tcBorders>
              <w:bottom w:val="single" w:sz="8" w:space="0" w:color="auto"/>
            </w:tcBorders>
            <w:vAlign w:val="center"/>
          </w:tcPr>
          <w:p w14:paraId="14B3A10C" w14:textId="77777777" w:rsid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Արմավիրի մարզ, ք</w:t>
            </w:r>
            <w:r w:rsidRPr="00F07D3D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Էջմիածին, Սուրբ Մովսես Խորենացի փ</w:t>
            </w:r>
            <w:r w:rsidRPr="00F07D3D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67</w:t>
            </w:r>
          </w:p>
          <w:p w14:paraId="72B0AFDF" w14:textId="6E5C08B8" w:rsidR="00F07D3D" w:rsidRPr="00464F68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F07D3D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044-66-29-90,077-66-29-90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F57E556" w14:textId="68C84D45" w:rsidR="00F07D3D" w:rsidRPr="00464F68" w:rsidRDefault="00F07D3D" w:rsidP="00F07D3D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F07D3D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  <w:t>Harutsimonyan93@gmail.com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6A0600A9" w14:textId="1F6D680D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11817100296700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03544D4F" w14:textId="467BEC1E" w:rsidR="00F07D3D" w:rsidRPr="00F07D3D" w:rsidRDefault="00F07D3D" w:rsidP="00F07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012419958</w:t>
            </w:r>
          </w:p>
        </w:tc>
      </w:tr>
      <w:tr w:rsidR="00651F97" w:rsidRPr="00F07D3D" w14:paraId="496A046D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393BE26B" w14:textId="77777777" w:rsidR="00651F97" w:rsidRPr="003E6AD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3863A00B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13" w:type="dxa"/>
          <w:trHeight w:val="200"/>
          <w:jc w:val="center"/>
        </w:trPr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651F97" w:rsidRPr="001C6951" w:rsidRDefault="00651F97" w:rsidP="00651F97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51F97" w:rsidRPr="0022631D" w14:paraId="485BF528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60FF974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E56328" w14:paraId="7DB42300" w14:textId="77777777" w:rsidTr="00175A43">
        <w:trPr>
          <w:gridAfter w:val="1"/>
          <w:wAfter w:w="413" w:type="dxa"/>
          <w:trHeight w:val="2731"/>
          <w:jc w:val="center"/>
        </w:trPr>
        <w:tc>
          <w:tcPr>
            <w:tcW w:w="11240" w:type="dxa"/>
            <w:gridSpan w:val="29"/>
            <w:vAlign w:val="center"/>
          </w:tcPr>
          <w:p w14:paraId="0AD8E25E" w14:textId="7C80B9A6" w:rsidR="00651F97" w:rsidRPr="00E4188B" w:rsidRDefault="00651F97" w:rsidP="00651F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651F97" w:rsidRPr="004D078F" w:rsidRDefault="00651F97" w:rsidP="00651F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51F97" w:rsidRPr="004D078F" w:rsidRDefault="00651F97" w:rsidP="00651F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51F97" w:rsidRPr="004D078F" w:rsidRDefault="00651F97" w:rsidP="00651F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651F97" w:rsidRPr="004D078F" w:rsidRDefault="00651F97" w:rsidP="00651F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651F97" w:rsidRPr="00E56328" w14:paraId="3CC8B38C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02AFA8B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5484FA73" w14:textId="77777777" w:rsidTr="00175A43">
        <w:trPr>
          <w:gridAfter w:val="1"/>
          <w:wAfter w:w="413" w:type="dxa"/>
          <w:trHeight w:val="475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</w:tcPr>
          <w:p w14:paraId="7A9CE343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4FEAA595" w14:textId="17C9DD94" w:rsidR="00651F97" w:rsidRPr="00B600FA" w:rsidRDefault="00651F97" w:rsidP="00651F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="008C7DC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ԻԿՎԾԻԿ-ԳՀԾՁԲ-26/19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5A7FED5D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0C88E28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40B30E88" w14:textId="77777777" w:rsidTr="00175A43">
        <w:trPr>
          <w:gridAfter w:val="1"/>
          <w:wAfter w:w="413" w:type="dxa"/>
          <w:trHeight w:val="427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541BD7F7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4DE14D25" w14:textId="77777777" w:rsidTr="00175A43">
        <w:trPr>
          <w:gridAfter w:val="1"/>
          <w:wAfter w:w="413" w:type="dxa"/>
          <w:trHeight w:val="427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651F97" w:rsidRPr="00E56328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77777777" w:rsidR="00651F97" w:rsidRPr="00E56328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F97" w:rsidRPr="008C7DC6" w14:paraId="1DAD5D5C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57597369" w14:textId="77777777" w:rsidR="00651F97" w:rsidRPr="00E5632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5F667D89" w14:textId="77777777" w:rsidTr="00175A43">
        <w:trPr>
          <w:gridAfter w:val="1"/>
          <w:wAfter w:w="413" w:type="dxa"/>
          <w:trHeight w:val="427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51F97" w:rsidRPr="0022631D" w14:paraId="406B68D6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79EAD14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A2BD291" w14:textId="77777777" w:rsidTr="00175A43">
        <w:trPr>
          <w:gridAfter w:val="1"/>
          <w:wAfter w:w="413" w:type="dxa"/>
          <w:trHeight w:val="227"/>
          <w:jc w:val="center"/>
        </w:trPr>
        <w:tc>
          <w:tcPr>
            <w:tcW w:w="11240" w:type="dxa"/>
            <w:gridSpan w:val="29"/>
            <w:vAlign w:val="center"/>
          </w:tcPr>
          <w:p w14:paraId="73A19DB3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1F97" w:rsidRPr="0022631D" w14:paraId="002AF1AD" w14:textId="77777777" w:rsidTr="00175A43">
        <w:trPr>
          <w:gridAfter w:val="1"/>
          <w:wAfter w:w="413" w:type="dxa"/>
          <w:trHeight w:val="47"/>
          <w:jc w:val="center"/>
        </w:trPr>
        <w:tc>
          <w:tcPr>
            <w:tcW w:w="33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33" w:type="dxa"/>
            <w:gridSpan w:val="10"/>
            <w:tcBorders>
              <w:bottom w:val="single" w:sz="8" w:space="0" w:color="auto"/>
            </w:tcBorders>
            <w:vAlign w:val="center"/>
          </w:tcPr>
          <w:p w14:paraId="296B6A0C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446" w:type="dxa"/>
            <w:gridSpan w:val="12"/>
            <w:tcBorders>
              <w:bottom w:val="single" w:sz="8" w:space="0" w:color="auto"/>
            </w:tcBorders>
            <w:vAlign w:val="center"/>
          </w:tcPr>
          <w:p w14:paraId="18D00A61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51F97" w:rsidRPr="0022631D" w14:paraId="6C6C269C" w14:textId="77777777" w:rsidTr="00175A43">
        <w:trPr>
          <w:gridAfter w:val="1"/>
          <w:wAfter w:w="413" w:type="dxa"/>
          <w:trHeight w:val="47"/>
          <w:jc w:val="center"/>
        </w:trPr>
        <w:tc>
          <w:tcPr>
            <w:tcW w:w="3361" w:type="dxa"/>
            <w:gridSpan w:val="7"/>
            <w:vAlign w:val="center"/>
          </w:tcPr>
          <w:p w14:paraId="0A862370" w14:textId="1FD7D260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433" w:type="dxa"/>
            <w:gridSpan w:val="10"/>
            <w:vAlign w:val="center"/>
          </w:tcPr>
          <w:p w14:paraId="570A2BE5" w14:textId="59F7A7E8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446" w:type="dxa"/>
            <w:gridSpan w:val="12"/>
            <w:vAlign w:val="center"/>
          </w:tcPr>
          <w:p w14:paraId="3C42DEDA" w14:textId="14C2AD02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101DDDF" w14:textId="251738FE" w:rsidR="00F07D3D" w:rsidRDefault="00F07D3D" w:rsidP="009C5E0F">
      <w:pPr>
        <w:tabs>
          <w:tab w:val="left" w:pos="9829"/>
        </w:tabs>
        <w:ind w:left="0" w:firstLine="0"/>
        <w:rPr>
          <w:rFonts w:ascii="GHEA Grapalat" w:hAnsi="GHEA Grapalat"/>
          <w:b/>
          <w:bCs/>
          <w:sz w:val="18"/>
          <w:szCs w:val="18"/>
          <w:lang w:val="af-Z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F07D3D" w:rsidRPr="00F07D3D" w14:paraId="1A8DEEF1" w14:textId="77777777" w:rsidTr="00FC2BFF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247820" w14:textId="77777777" w:rsidR="00F07D3D" w:rsidRPr="00F07D3D" w:rsidRDefault="00F07D3D" w:rsidP="00F07D3D">
            <w:pPr>
              <w:spacing w:before="0" w:after="0" w:line="240" w:lineRule="atLeast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ՏԵԽՆԻԿԱԿԱՆ ԱՌԱՋԱԴՐԱՆՔ 1</w:t>
            </w:r>
          </w:p>
          <w:p w14:paraId="33212B7B" w14:textId="77777777" w:rsidR="00F07D3D" w:rsidRPr="00F07D3D" w:rsidRDefault="00F07D3D" w:rsidP="00F07D3D">
            <w:pPr>
              <w:spacing w:before="0" w:after="0" w:line="240" w:lineRule="atLeast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ՄԱՍՆԱԳԵՏ՝</w:t>
            </w:r>
            <w:r w:rsidRPr="00F07D3D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ՍՈՑԻԱԼԱԿԱՆ ՈԼՈՐՏԻ </w:t>
            </w:r>
          </w:p>
        </w:tc>
      </w:tr>
      <w:tr w:rsidR="00F07D3D" w:rsidRPr="00F07D3D" w14:paraId="19C8754B" w14:textId="77777777" w:rsidTr="00FC2BFF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48C" w14:textId="77777777" w:rsidR="00F07D3D" w:rsidRPr="00F07D3D" w:rsidRDefault="00F07D3D" w:rsidP="00F07D3D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2 ամիս</w:t>
            </w:r>
          </w:p>
          <w:p w14:paraId="73623642" w14:textId="77777777" w:rsidR="00F07D3D" w:rsidRPr="00F07D3D" w:rsidRDefault="00F07D3D" w:rsidP="00F07D3D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F07D3D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F07D3D" w:rsidRPr="00F07D3D" w14:paraId="1562B4FE" w14:textId="77777777" w:rsidTr="00FC2BFF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6B4" w14:textId="77777777" w:rsidR="00F07D3D" w:rsidRPr="00F07D3D" w:rsidRDefault="00F07D3D" w:rsidP="00F07D3D">
            <w:pPr>
              <w:numPr>
                <w:ilvl w:val="0"/>
                <w:numId w:val="15"/>
              </w:numPr>
              <w:spacing w:before="0" w:after="0"/>
              <w:ind w:left="30" w:firstLine="142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>Ծրագրի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0B6473AC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27B63D8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F07D3D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F07D3D" w:rsidRPr="00F07D3D" w14:paraId="26E2364C" w14:textId="77777777" w:rsidTr="00FC2BF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50E" w14:textId="77777777" w:rsidR="00F07D3D" w:rsidRPr="00F07D3D" w:rsidRDefault="00F07D3D" w:rsidP="00F07D3D">
            <w:pPr>
              <w:numPr>
                <w:ilvl w:val="0"/>
                <w:numId w:val="15"/>
              </w:numPr>
              <w:spacing w:before="0" w:after="0"/>
              <w:ind w:left="30" w:firstLine="142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շրջանակները</w:t>
            </w:r>
            <w:proofErr w:type="spellEnd"/>
          </w:p>
          <w:p w14:paraId="7A884713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Սույն տեխնիկական առաջադրանքի նպատակն է ներգրավել սոցիալական ոլորտի մասնագետ՝ թմրամիջոցների և հոգեմետ նյութերի գործածման կանխարգելման, ինչպես նաև գործածման ընթացքում և դրանից հետո սոցիալական վերականգնմանն ուղղված ուղեցույցի մշակման համար՝ ուղղված անչափահասների և երիտասարդների թիրախ խմբին։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</w:p>
          <w:p w14:paraId="591B9E8F" w14:textId="77777777" w:rsidR="00F07D3D" w:rsidRPr="00F07D3D" w:rsidRDefault="00F07D3D" w:rsidP="00F07D3D">
            <w:pPr>
              <w:keepNext/>
              <w:spacing w:before="0" w:after="0" w:line="360" w:lineRule="auto"/>
              <w:ind w:left="0" w:firstLine="0"/>
              <w:jc w:val="both"/>
              <w:outlineLvl w:val="2"/>
              <w:rPr>
                <w:rFonts w:ascii="GHEA Grapalat" w:eastAsia="Times New Roman" w:hAnsi="GHEA Grapalat"/>
                <w:i/>
                <w:sz w:val="20"/>
                <w:szCs w:val="20"/>
                <w:lang w:val="en-A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i/>
                <w:sz w:val="20"/>
                <w:szCs w:val="20"/>
                <w:lang w:val="en-AU"/>
              </w:rPr>
              <w:t>Սպասվող</w:t>
            </w:r>
            <w:proofErr w:type="spellEnd"/>
            <w:r w:rsidRPr="00F07D3D">
              <w:rPr>
                <w:rFonts w:ascii="GHEA Grapalat" w:eastAsia="Times New Roman" w:hAnsi="GHEA Grapalat"/>
                <w:i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i/>
                <w:sz w:val="20"/>
                <w:szCs w:val="20"/>
                <w:lang w:val="en-AU"/>
              </w:rPr>
              <w:t>արդյունքներ</w:t>
            </w:r>
            <w:proofErr w:type="spellEnd"/>
          </w:p>
          <w:p w14:paraId="139EBB21" w14:textId="77777777" w:rsidR="00F07D3D" w:rsidRPr="00F07D3D" w:rsidRDefault="00F07D3D" w:rsidP="00F07D3D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Մշակված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բաղադրիչ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՝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ուղղություններով</w:t>
            </w:r>
            <w:proofErr w:type="spellEnd"/>
          </w:p>
          <w:p w14:paraId="4B7D9909" w14:textId="77777777" w:rsidR="00F07D3D" w:rsidRPr="00F07D3D" w:rsidRDefault="00F07D3D" w:rsidP="00F07D3D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Գործնականում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կիրառելի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միջամտությունների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գործիքակազմ</w:t>
            </w:r>
            <w:proofErr w:type="spellEnd"/>
          </w:p>
          <w:p w14:paraId="2C64C304" w14:textId="77777777" w:rsidR="00F07D3D" w:rsidRPr="00F07D3D" w:rsidRDefault="00F07D3D" w:rsidP="00F07D3D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Թիրախ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խմբի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կարիքներին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համապատասխան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բովանդակություն</w:t>
            </w:r>
            <w:proofErr w:type="spellEnd"/>
          </w:p>
          <w:p w14:paraId="309A34A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 ուղեցույցից բխող ուսումնական մոդուլ, իրականացնել 2-խմբերի համար 2-օրյա դասընթաց՝ ընդամենը՝ 4 դասընթաց: Ծրագրի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հաշվետվության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ներկայացում: </w:t>
            </w:r>
          </w:p>
        </w:tc>
      </w:tr>
      <w:tr w:rsidR="00F07D3D" w:rsidRPr="00F07D3D" w14:paraId="59E5BC77" w14:textId="77777777" w:rsidTr="00FC2BF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65C" w14:textId="77777777" w:rsidR="00F07D3D" w:rsidRPr="00F07D3D" w:rsidRDefault="00F07D3D" w:rsidP="00F07D3D">
            <w:pPr>
              <w:numPr>
                <w:ilvl w:val="0"/>
                <w:numId w:val="15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Իրականացման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F07D3D" w:rsidRPr="00F07D3D" w14:paraId="794A4879" w14:textId="77777777" w:rsidTr="00FC2BFF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149" w14:textId="77777777" w:rsidR="00F07D3D" w:rsidRPr="00F07D3D" w:rsidRDefault="00F07D3D" w:rsidP="00F07D3D">
            <w:pPr>
              <w:numPr>
                <w:ilvl w:val="0"/>
                <w:numId w:val="15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</w:p>
        </w:tc>
      </w:tr>
      <w:tr w:rsidR="00F07D3D" w:rsidRPr="00F07D3D" w14:paraId="15F65A06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4CEF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33C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F07D3D" w:rsidRPr="00F07D3D" w14:paraId="08AB6481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DE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հոգեմե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օգտագործման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կանխարգելման,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ինչպես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այդ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դեպքերում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ներգրավված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վարքային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խնդիրներ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ունեցող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անչափահասների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միջազգային փորձի ուսումնասիրում և վերլուծություն։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9D3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Թմրամիջոցների և հոգեմետ նյութերի օգտագործման կանխարգելման, ինչպես նաև այդ դեպքերում ներգրավված վարքային խնդիրներ ունեցող անչափահասների վերականգնման միջազգային փորձի ուսումնասիրման արդյունքների վերլուծության ներկայացում։</w:t>
            </w:r>
          </w:p>
        </w:tc>
      </w:tr>
      <w:tr w:rsidR="00F07D3D" w:rsidRPr="00F07D3D" w14:paraId="0A2536BC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BF7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Մասնակցել ուղեցույցի հայեցակարգի և կառուցվածքի մշակմանը: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7ED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Ուղեցույց՝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մշակված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բաղադրիչով՝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վերականգնման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ուղղություններով:</w:t>
            </w:r>
          </w:p>
        </w:tc>
      </w:tr>
      <w:tr w:rsidR="00F07D3D" w:rsidRPr="00F07D3D" w14:paraId="66430703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049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թմրամիջոցների գործածման սոցիալական պատճառները և ռիսկի գործոնները: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DE1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Թմրամիջոցների գործածման սոցիալական պատճառները և ռիսկի գործոններ: </w:t>
            </w:r>
          </w:p>
        </w:tc>
      </w:tr>
      <w:tr w:rsidR="00F07D3D" w:rsidRPr="00F07D3D" w14:paraId="58A014EE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BF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Նկարագրել խոցելի խմբերի առանձնահատկությունները և սոցիալական միջավայրի ազդեցությունը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br/>
              <w:t>Մշակել սոցիալական կանխարգելման և վաղ միջամտության գործիքներ: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8ED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Գործնականում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կիրառելի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միջամտությունների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գործիքակազմ:</w:t>
            </w:r>
          </w:p>
          <w:p w14:paraId="44B7C226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</w:p>
        </w:tc>
      </w:tr>
      <w:tr w:rsidR="00F07D3D" w:rsidRPr="00F07D3D" w14:paraId="19852931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23C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սոցիալական աջակցման և ուղեգրման  մեխանիզմները: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E1E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 աջակցման և ուղեգրման մեխանիզմներ:</w:t>
            </w:r>
          </w:p>
        </w:tc>
      </w:tr>
      <w:tr w:rsidR="00F07D3D" w:rsidRPr="00F07D3D" w14:paraId="574BC4DE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CAF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Նկարագրել ընտանիքի, համայնքի և կրթական հաստատությունների դերակատարումը: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BAC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Ընտանիքի, համայնքի և կրթական հաստատությունների դերակատարման հիմնավորում:</w:t>
            </w:r>
          </w:p>
        </w:tc>
      </w:tr>
      <w:tr w:rsidR="00F07D3D" w:rsidRPr="00F07D3D" w14:paraId="4198FF3A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5B42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սոցիալական վերականգնման և վերաինտեգրման փուլերը: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7F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 վերականգնման և վերաինտեգրման փուլերի ներկայացում:</w:t>
            </w:r>
          </w:p>
        </w:tc>
      </w:tr>
      <w:tr w:rsidR="00F07D3D" w:rsidRPr="00F07D3D" w14:paraId="5BCAB2C8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7C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զբաղվածության, կրթության և սոցիալական ծառայությունների հետ համագործակցության մոդելները: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FEB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Համագործակցության մոդելների ներկայացում:</w:t>
            </w:r>
          </w:p>
        </w:tc>
      </w:tr>
      <w:tr w:rsidR="00F07D3D" w:rsidRPr="00F07D3D" w14:paraId="570E2362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887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Ապահովել ուղեցույցի համապատասխանությունը ՀՀ սոցիալական քաղաքականությանը և գործող օրենսդրությանը: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CA9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համապատասխանության ապահովում ՀՀ սոցիալական քաղաքականությանը և գործող օրենսդրությանը:</w:t>
            </w:r>
          </w:p>
        </w:tc>
      </w:tr>
      <w:tr w:rsidR="00F07D3D" w:rsidRPr="00F07D3D" w14:paraId="47469889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755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Մասնակցել ուղեցույցի փորձագիտական գնահատմանը, խմբագրմանը և վերջնականացմանը: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4D2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ամբողջական ներկայացում սոցիալական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բաղադրիչ՝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վերականգնման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ուղղություններով, թիրախ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խմբի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կարիքներին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</w:p>
          <w:p w14:paraId="6C27A089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համապատասխան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բովանդակություն:</w:t>
            </w:r>
          </w:p>
        </w:tc>
      </w:tr>
      <w:tr w:rsidR="00F07D3D" w:rsidRPr="00F07D3D" w14:paraId="52E1EB95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7D7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Կազմել ուղեցույցից բխող ուսումնական մոդուլ, իրականացնել 2-խմբերի համար 2-օրյա դասընթաց՝ ընդամենը՝ 4 դասընթաց: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EC5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Դասընթացների իրականացում:</w:t>
            </w:r>
          </w:p>
        </w:tc>
      </w:tr>
      <w:tr w:rsidR="00F07D3D" w:rsidRPr="00F07D3D" w14:paraId="784462A6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22C" w14:textId="77777777" w:rsidR="00F07D3D" w:rsidRPr="00F07D3D" w:rsidRDefault="00F07D3D" w:rsidP="00F07D3D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2" w:lineRule="auto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 xml:space="preserve">Ներկայացնել հաշվետվություն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պատվիրատուի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կողմից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սահմանված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ձևաչափով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ժամկետներում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 xml:space="preserve"> կատարված աշխատանքների վերաբերյալ: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32A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>Հաշվետվության ներկայացում:</w:t>
            </w:r>
          </w:p>
        </w:tc>
      </w:tr>
      <w:tr w:rsidR="00F07D3D" w:rsidRPr="00F07D3D" w14:paraId="63F46423" w14:textId="77777777" w:rsidTr="00FC2BFF">
        <w:trPr>
          <w:trHeight w:val="201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5D3" w14:textId="77777777" w:rsidR="00F07D3D" w:rsidRPr="00F07D3D" w:rsidRDefault="00F07D3D" w:rsidP="00F07D3D">
            <w:pPr>
              <w:keepNext/>
              <w:keepLines/>
              <w:numPr>
                <w:ilvl w:val="0"/>
                <w:numId w:val="16"/>
              </w:numPr>
              <w:spacing w:before="240" w:after="0"/>
              <w:ind w:left="72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Պահանջվող</w:t>
            </w:r>
            <w:proofErr w:type="spellEnd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1C1442AB" w14:textId="77777777" w:rsidR="00F07D3D" w:rsidRPr="00F07D3D" w:rsidRDefault="00F07D3D" w:rsidP="00F07D3D">
            <w:pPr>
              <w:keepNext/>
              <w:keepLines/>
              <w:spacing w:before="240"/>
              <w:ind w:left="72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504E6D11" w14:textId="77777777" w:rsidR="00F07D3D" w:rsidRPr="00F07D3D" w:rsidRDefault="00F07D3D" w:rsidP="00F07D3D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Բարձրագույն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կրթություն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աշխատանքի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սոցիոլոգիայի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հանրային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քաղաքականության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հարակից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</w:p>
          <w:p w14:paraId="6BBB01EF" w14:textId="77777777" w:rsidR="00F07D3D" w:rsidRPr="00F07D3D" w:rsidRDefault="00F07D3D" w:rsidP="00F07D3D">
            <w:pPr>
              <w:spacing w:before="100" w:beforeAutospacing="1" w:after="100" w:afterAutospacing="1"/>
              <w:ind w:left="784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00462916" w14:textId="77777777" w:rsidR="00F07D3D" w:rsidRPr="00F07D3D" w:rsidRDefault="00F07D3D" w:rsidP="00F07D3D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տարվա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աշխատանքային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աշխատանքի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երիտասարդների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խոցելի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խմբերի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հետ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աշխատանքի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</w:p>
          <w:p w14:paraId="1EA2DCD4" w14:textId="77777777" w:rsidR="00F07D3D" w:rsidRPr="00F07D3D" w:rsidRDefault="00F07D3D" w:rsidP="00F07D3D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10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տարվա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որձ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կախվածությունների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վարքային խնդիրներով անչափահասների հետ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ծրագրերում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նախընտրելի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68FE6E75" w14:textId="77777777" w:rsidR="00F07D3D" w:rsidRPr="00F07D3D" w:rsidRDefault="00F07D3D" w:rsidP="00F07D3D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Գիտելիքներ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ծառայությունների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համակարգի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միջոլորտային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համագործակցության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վերաբերյալ</w:t>
            </w:r>
            <w:proofErr w:type="spellEnd"/>
          </w:p>
          <w:p w14:paraId="03E064A3" w14:textId="77777777" w:rsidR="00F07D3D" w:rsidRPr="00F07D3D" w:rsidRDefault="00F07D3D" w:rsidP="00F07D3D">
            <w:pPr>
              <w:keepNext/>
              <w:keepLines/>
              <w:spacing w:before="0" w:after="120"/>
              <w:ind w:left="142" w:firstLine="425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մասնագիտական հմտություններ</w:t>
            </w:r>
          </w:p>
          <w:p w14:paraId="5281646E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hAnsi="GHEA Grapalat"/>
                <w:sz w:val="20"/>
                <w:szCs w:val="20"/>
                <w:lang w:val="hy-AM"/>
              </w:rPr>
              <w:t>Սոցիալական վերլուծության և կարիքների գնահատման կարողություն</w:t>
            </w:r>
          </w:p>
          <w:p w14:paraId="48F6B809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Գործնական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ուղեցույցների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փորձ</w:t>
            </w:r>
            <w:proofErr w:type="spellEnd"/>
          </w:p>
          <w:p w14:paraId="3BFF1693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Թիմային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միջոլորտային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համագործակցության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հմտություններ</w:t>
            </w:r>
            <w:proofErr w:type="spellEnd"/>
          </w:p>
          <w:p w14:paraId="4411CF0F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Հաղորդակցման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հաշվետվությունների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պատրաստման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կարողություն</w:t>
            </w:r>
            <w:proofErr w:type="spellEnd"/>
          </w:p>
          <w:p w14:paraId="7A413B20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Կոնֆիդենցիալության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էթիկական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նորմերի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պահպանում</w:t>
            </w:r>
            <w:proofErr w:type="spellEnd"/>
          </w:p>
          <w:p w14:paraId="3386422C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hAnsi="GHEA Grapalat"/>
                <w:sz w:val="20"/>
                <w:szCs w:val="20"/>
                <w:lang w:val="hy-AM"/>
              </w:rPr>
              <w:t>կազմելու</w:t>
            </w:r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40A55C17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կազմում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>ո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22CAAA7C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F07D3D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>ե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</w:rPr>
              <w:t>ի</w:t>
            </w:r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անգլերենի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</w:rPr>
              <w:t>գերազանց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F07D3D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53FB1F80" w14:textId="77777777" w:rsidR="00F07D3D" w:rsidRPr="00F07D3D" w:rsidRDefault="00F07D3D" w:rsidP="00F07D3D">
            <w:pPr>
              <w:numPr>
                <w:ilvl w:val="0"/>
                <w:numId w:val="29"/>
              </w:num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F07D3D">
              <w:rPr>
                <w:rFonts w:ascii="GHEA Grapalat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F07D3D">
              <w:rPr>
                <w:rFonts w:ascii="GHEA Grapalat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F07D3D">
              <w:rPr>
                <w:rFonts w:ascii="GHEA Grapalat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hAnsi="GHEA Grapalat" w:cs="Arian AMU"/>
                <w:sz w:val="20"/>
                <w:szCs w:val="20"/>
              </w:rPr>
              <w:t>գիտելիքներ</w:t>
            </w:r>
            <w:proofErr w:type="spellEnd"/>
            <w:r w:rsidRPr="00F07D3D">
              <w:rPr>
                <w:rFonts w:ascii="GHEA Grapalat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31B28F79" w14:textId="3DEEB717" w:rsid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09F2B00C" w14:textId="3E5862CC" w:rsid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77"/>
      </w:tblGrid>
      <w:tr w:rsidR="00F07D3D" w:rsidRPr="00F07D3D" w14:paraId="556C48DD" w14:textId="77777777" w:rsidTr="00FC2BFF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36D8FE" w14:textId="77777777" w:rsidR="00F07D3D" w:rsidRPr="00F07D3D" w:rsidRDefault="00F07D3D" w:rsidP="00F07D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ՏԵԽՆԻԿԱԿԱՆ</w:t>
            </w:r>
            <w:r w:rsidRPr="00F07D3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ԱՌԱՋԱԴՐԱՆՔ</w:t>
            </w:r>
            <w:r w:rsidRPr="00F07D3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2</w:t>
            </w:r>
          </w:p>
          <w:p w14:paraId="152F5F6B" w14:textId="77777777" w:rsidR="00F07D3D" w:rsidRPr="00F07D3D" w:rsidRDefault="00F07D3D" w:rsidP="00F07D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ՄԱՍՆԱԳԵՏ՝</w:t>
            </w:r>
            <w:r w:rsidRPr="00F07D3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ՀՈԳԵԲԱՆ</w:t>
            </w:r>
          </w:p>
        </w:tc>
      </w:tr>
      <w:tr w:rsidR="00F07D3D" w:rsidRPr="00F07D3D" w14:paraId="17FECA18" w14:textId="77777777" w:rsidTr="00FC2BFF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A95" w14:textId="77777777" w:rsidR="00F07D3D" w:rsidRPr="00F07D3D" w:rsidRDefault="00F07D3D" w:rsidP="00F07D3D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2 ամիս</w:t>
            </w:r>
          </w:p>
          <w:p w14:paraId="07EC86DF" w14:textId="77777777" w:rsidR="00F07D3D" w:rsidRPr="00F07D3D" w:rsidRDefault="00F07D3D" w:rsidP="00F07D3D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F07D3D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F07D3D" w:rsidRPr="00F07D3D" w14:paraId="6DA49FF1" w14:textId="77777777" w:rsidTr="00FC2BFF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D39" w14:textId="77777777" w:rsidR="00F07D3D" w:rsidRPr="00F07D3D" w:rsidRDefault="00F07D3D" w:rsidP="00F07D3D">
            <w:pPr>
              <w:numPr>
                <w:ilvl w:val="3"/>
                <w:numId w:val="16"/>
              </w:numPr>
              <w:spacing w:before="0" w:after="0"/>
              <w:ind w:left="743" w:hanging="284"/>
              <w:contextualSpacing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03512785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5B65DB8D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F07D3D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F07D3D" w:rsidRPr="00F07D3D" w14:paraId="5D4BBA2A" w14:textId="77777777" w:rsidTr="00FC2BF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AB9" w14:textId="77777777" w:rsidR="00F07D3D" w:rsidRPr="00F07D3D" w:rsidRDefault="00F07D3D" w:rsidP="00F07D3D">
            <w:pPr>
              <w:numPr>
                <w:ilvl w:val="3"/>
                <w:numId w:val="16"/>
              </w:numPr>
              <w:spacing w:before="0" w:after="0"/>
              <w:ind w:left="927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շրջանակները</w:t>
            </w:r>
            <w:proofErr w:type="spellEnd"/>
          </w:p>
          <w:p w14:paraId="03A603E3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Հոգեբանը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պատասխանատու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է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ուղեցույցի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բովանդակության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մասնագիտական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՝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ապահովելով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դրա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գիտական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հիմնավորվածությունը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կիրառելիությունը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տարիքային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և գենդերային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համապատասխանությունը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անչափահասների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երիտասարդների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հետ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աշխատանքում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։</w:t>
            </w:r>
          </w:p>
          <w:p w14:paraId="12EFC56E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Սպասվող արդյունք՝  </w:t>
            </w:r>
          </w:p>
          <w:p w14:paraId="1375B5A6" w14:textId="77777777" w:rsidR="00F07D3D" w:rsidRPr="00F07D3D" w:rsidRDefault="00F07D3D" w:rsidP="00F07D3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Մշակված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հոգեբանական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բաղադրիչ՝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կանխարգելման, արձագանքման և աջակցման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ուղղություններով</w:t>
            </w:r>
          </w:p>
          <w:p w14:paraId="25C66CFC" w14:textId="77777777" w:rsidR="00F07D3D" w:rsidRPr="00F07D3D" w:rsidRDefault="00F07D3D" w:rsidP="00F07D3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Գործնականում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կիրառելի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հոգեբանական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միջամտությունների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գործիքակազմ</w:t>
            </w:r>
            <w:proofErr w:type="spellEnd"/>
          </w:p>
          <w:p w14:paraId="484FC48E" w14:textId="77777777" w:rsidR="00F07D3D" w:rsidRPr="00F07D3D" w:rsidRDefault="00F07D3D" w:rsidP="00F07D3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Թիրախ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խմբի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տարիքային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հոգեբանական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առանձնահատկություններին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համապատասխան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բովանդակություն</w:t>
            </w:r>
            <w:proofErr w:type="spellEnd"/>
          </w:p>
          <w:p w14:paraId="37346097" w14:textId="77777777" w:rsidR="00F07D3D" w:rsidRPr="00F07D3D" w:rsidRDefault="00F07D3D" w:rsidP="00F07D3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Ենթածրագրի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հաշվետվության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ներկայացում: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</w:p>
          <w:p w14:paraId="6F6A54FF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 ուղեցույցից բխող ուսումնական մոդուլ, իրականացնել 2-խմբերի համար 2-օրյա դասընթաց՝ ընդամենը՝ 4 դասընթաց: Ծրագրի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հաշվետվության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ներկայացում:</w:t>
            </w:r>
          </w:p>
        </w:tc>
      </w:tr>
      <w:tr w:rsidR="00F07D3D" w:rsidRPr="00F07D3D" w14:paraId="38300169" w14:textId="77777777" w:rsidTr="00FC2BF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D17" w14:textId="77777777" w:rsidR="00F07D3D" w:rsidRPr="00F07D3D" w:rsidRDefault="00F07D3D" w:rsidP="00F07D3D">
            <w:pPr>
              <w:numPr>
                <w:ilvl w:val="3"/>
                <w:numId w:val="16"/>
              </w:numPr>
              <w:spacing w:before="0" w:after="0"/>
              <w:ind w:left="927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Իրականացման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F07D3D" w:rsidRPr="00F07D3D" w14:paraId="7CA5674E" w14:textId="77777777" w:rsidTr="00FC2BFF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BC2" w14:textId="77777777" w:rsidR="00F07D3D" w:rsidRPr="00F07D3D" w:rsidRDefault="00F07D3D" w:rsidP="00F07D3D">
            <w:pPr>
              <w:numPr>
                <w:ilvl w:val="3"/>
                <w:numId w:val="16"/>
              </w:numPr>
              <w:spacing w:before="0" w:after="0"/>
              <w:ind w:left="927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</w:p>
        </w:tc>
      </w:tr>
      <w:tr w:rsidR="00F07D3D" w:rsidRPr="00F07D3D" w14:paraId="0CEE25FE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26A0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BBBD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F07D3D" w:rsidRPr="00F07D3D" w14:paraId="02D20B62" w14:textId="77777777" w:rsidTr="00FC2BFF">
        <w:trPr>
          <w:trHeight w:val="1414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D25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հոգեմե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օգտագործման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կանխարգելման,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ինչպես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այդ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դեպքերում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ներգրավված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վարքային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խնդիրներ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ունեցող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անչափահասների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միջազգային փորձի ուսումնասիրում և վերլուծություն։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CF1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Թմրամիջոցների և հոգեմետ նյութերի օգտագործման կանխարգելման, ինչպես նաև այդ դեպքերում ներգրավված վարքային խնդիրներ ունեցող անչափահասների վերականգնման միջազգային փորձի ուսումնասիրման արդյունքների վերլուծության ներկայացում։</w:t>
            </w:r>
          </w:p>
        </w:tc>
      </w:tr>
      <w:tr w:rsidR="00F07D3D" w:rsidRPr="00F07D3D" w14:paraId="46AB2747" w14:textId="77777777" w:rsidTr="00FC2BFF">
        <w:trPr>
          <w:trHeight w:val="99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A0F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թմրամիջոցների և հոգեմետ նյութերի օգտագործման հոգեբանական առանձնահատկություններին վերաբերող բովանդակությունը՝ հաշվի առնելով անչափահասների տարիքային զարգացման և հոգեսոցիալական առանձնահատկությունները, գենդերազգայուն մոտեցումները։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8C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Թմրամիջոցների և հոգեմետ նյութերի օգտագործման հոգեբանական  մշակված առանձնահատկությունների  ներկայացում։</w:t>
            </w:r>
          </w:p>
        </w:tc>
      </w:tr>
      <w:tr w:rsidR="00F07D3D" w:rsidRPr="00F07D3D" w14:paraId="580274FE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89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ռիսկային վարքագծի, օգտագործման նախանշանների և հոգեբանական ցուցիչների նկարագրությունը՝ վաղ հայտնաբերման նպատակով։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070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Վաղ հայտնաբերման նպատակով ռիսկային վարքագծի, օգտագործման նախանշանների և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հոգեբանական ցուցիչների նկարագրության ներկայացում։</w:t>
            </w:r>
          </w:p>
        </w:tc>
      </w:tr>
      <w:tr w:rsidR="00F07D3D" w:rsidRPr="00F07D3D" w14:paraId="25176D96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B39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Մշակել կամ ադապտացնել հոգեբանական գնահատման գործիքներ (հարցաթերթեր, դիտարկման ձևաթղթեր, ինքնագնահատման գործիքներ)՝ համապատասխան մասնագիտական էթիկայի և անձնական տվյալների պաշտպանության և երեխային չվնասելու սկզբունքներին։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99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Հոգեբանական գործիքների մշակում ադապտացում։</w:t>
            </w:r>
          </w:p>
        </w:tc>
      </w:tr>
      <w:tr w:rsidR="00F07D3D" w:rsidRPr="00F07D3D" w14:paraId="4B45D6FB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D87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Նկարագրել գործածմանը նպաստող հոգեբանական գործոնները՝ ներառյալ սթրեսը, տրավմատիկ փորձառությունները, ինքնագնահատականի խնդիրները, հասակակիցների ազդեցությունը և հուզական կարգավորման դժվարությունները։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9D7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Գործածմանը նպաստող հոգեբանական գործոնների՝ ներառյալ սթրեսը, տրավմատիկ փորձառությունները, ինքնագնահատականի խնդիրները, հասակակիցների ազդեցությունը և այլ գործոնների նկարագրում։</w:t>
            </w:r>
          </w:p>
        </w:tc>
      </w:tr>
      <w:tr w:rsidR="00F07D3D" w:rsidRPr="00F07D3D" w14:paraId="537EA39C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7FC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և ներկայացնել վաղ միջամտության, խորհրդատվության և հոգեբանական աջակցության հիմնական մոտեցումները։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F5B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Վաղ միջամտության, խորհրդատվության և հոգեբանական աջակցության հիմնական մոտեցումների ներկայացում։</w:t>
            </w:r>
          </w:p>
        </w:tc>
      </w:tr>
      <w:tr w:rsidR="00F07D3D" w:rsidRPr="00F07D3D" w14:paraId="16C0F9D7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170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Աջակցել  թմրամիջոցների և հոգեմետ նյութերի օգտագործմանն ուղղված կանխարգելիչ և իրազեկման միջոցառումների մշակմանը՝ հոգեբանական տեսանկյունից։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065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Թմրանյութերի և հոգեմետ միջոցների օգտագործման կանխարգելիչ և իրազեկման միջոցառումների մշակման  աջակցություն՝  հոգեբանական տեսանկյունից։  </w:t>
            </w:r>
          </w:p>
        </w:tc>
      </w:tr>
      <w:tr w:rsidR="00F07D3D" w:rsidRPr="00F07D3D" w14:paraId="15093887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AF6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Համագործակցել ուղեցույցի մշակման թիմի այլ մասնագետների հետ (սոցիալական ոլորտի մասնագետի, առողջապահության ներկայացուցիչ և այլն)։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 xml:space="preserve"> Մ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 xml:space="preserve">ասնակցել 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ենթա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ծրագրի շրջանակներում կազմակերպվող  հանդիպումներին, ստուգել և  վերլուծել  տվյալները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։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3C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Ուղեցույցի մշակման թիմի այլ մասնագետների հետ (սոցիալական ոլորտի մասնագետի, առողջապահության ներկայացուցիչ և այլն ներկայացուցիչների հետ  համագործակցություն և ենթածրագրի շրջանակում ահրաժեշտ հանդիպումների և քննարկումների մասնակցություն։  </w:t>
            </w:r>
          </w:p>
        </w:tc>
      </w:tr>
      <w:tr w:rsidR="00F07D3D" w:rsidRPr="00F07D3D" w14:paraId="1492221A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C24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Կազմել ուղեցույցից բխող ուսումնական մոդուլ, իրականացնել 2-խմբերի համար 2-օրյա դասընթաց՝ ընդամենը՝ 4 դասընթաց: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449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Դասընթացների իրականացում:</w:t>
            </w:r>
          </w:p>
        </w:tc>
      </w:tr>
      <w:tr w:rsidR="00F07D3D" w:rsidRPr="00F07D3D" w14:paraId="66C4841D" w14:textId="77777777" w:rsidTr="00FC2BFF">
        <w:trPr>
          <w:trHeight w:val="26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368" w14:textId="77777777" w:rsidR="00F07D3D" w:rsidRPr="00F07D3D" w:rsidRDefault="00F07D3D" w:rsidP="00F07D3D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2" w:lineRule="auto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 xml:space="preserve">Ներկայացնել հաշվետվություն 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 w:eastAsia="ru-RU"/>
              </w:rPr>
              <w:t>Ծ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>րագրի շրջանակում կատարված աշխատանքների վերաբերյալ: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CF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>Հաշվետվության ներկայացում:</w:t>
            </w:r>
          </w:p>
        </w:tc>
      </w:tr>
      <w:tr w:rsidR="00F07D3D" w:rsidRPr="00F07D3D" w14:paraId="3024CACC" w14:textId="77777777" w:rsidTr="00FC2BFF">
        <w:trPr>
          <w:trHeight w:val="201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6D2" w14:textId="77777777" w:rsidR="00F07D3D" w:rsidRPr="00F07D3D" w:rsidRDefault="00F07D3D" w:rsidP="00F07D3D">
            <w:pPr>
              <w:keepNext/>
              <w:keepLines/>
              <w:numPr>
                <w:ilvl w:val="3"/>
                <w:numId w:val="16"/>
              </w:numPr>
              <w:spacing w:before="240" w:after="0"/>
              <w:ind w:left="927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Պահանջվող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որակավորում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փորձ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և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կարողություններ</w:t>
            </w:r>
          </w:p>
          <w:p w14:paraId="4462AA8C" w14:textId="77777777" w:rsidR="00F07D3D" w:rsidRPr="00F07D3D" w:rsidRDefault="00F07D3D" w:rsidP="00F07D3D">
            <w:pPr>
              <w:keepNext/>
              <w:keepLines/>
              <w:spacing w:before="240"/>
              <w:ind w:left="72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1835A8E9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կրթություն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հոգեբանության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</w:t>
            </w:r>
          </w:p>
          <w:p w14:paraId="5D9DA346" w14:textId="77777777" w:rsidR="00F07D3D" w:rsidRPr="00F07D3D" w:rsidRDefault="00F07D3D" w:rsidP="00F07D3D">
            <w:pPr>
              <w:spacing w:before="100" w:beforeAutospacing="1" w:after="100" w:afterAutospacing="1"/>
              <w:ind w:left="1054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038D89DA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10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տարվա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աշխատանքային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</w:p>
          <w:p w14:paraId="67EE265E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/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կամ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երիտասարդների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մեջ</w:t>
            </w:r>
          </w:p>
          <w:p w14:paraId="3642CA80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կախվածությունների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բուժման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կամ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վերականգնման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ծրագրերում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3B5F6EFC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Գիտելիքներ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վարքագծային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փոփոխության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խորհրդատվական մոտեցումների վերաբերյալ</w:t>
            </w:r>
          </w:p>
          <w:p w14:paraId="57319542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Առնվազն մեկ ուղեցույցի մշակման փորձ</w:t>
            </w:r>
          </w:p>
          <w:p w14:paraId="2437EB68" w14:textId="77777777" w:rsidR="00F07D3D" w:rsidRPr="00F07D3D" w:rsidRDefault="00F07D3D" w:rsidP="00F07D3D">
            <w:pPr>
              <w:spacing w:before="100" w:beforeAutospacing="1" w:after="100" w:afterAutospacing="1"/>
              <w:ind w:left="72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հմտություններ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կարողություններ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</w:p>
          <w:p w14:paraId="104EB3E0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Վերլուծական և համակարգված մտածողություն</w:t>
            </w:r>
          </w:p>
          <w:p w14:paraId="3657499B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Հոգեբանական միջամտությունների գործնական ներկայացման կարո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ղություն</w:t>
            </w:r>
            <w:proofErr w:type="spellEnd"/>
          </w:p>
          <w:p w14:paraId="4DAF7FBF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Թիմային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միջոլորտային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համագործակցության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հմտություններ</w:t>
            </w:r>
            <w:proofErr w:type="spellEnd"/>
          </w:p>
          <w:p w14:paraId="60C4A451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Գրավոր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մասնագիտական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</w:p>
          <w:p w14:paraId="72E0A0C6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Կոնֆիդենցիալության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սկզբունքների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</w:p>
          <w:p w14:paraId="2E84B49B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4116EB5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1BD0EBC6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8F1D27D" w14:textId="77777777" w:rsidR="00F07D3D" w:rsidRPr="00F07D3D" w:rsidRDefault="00F07D3D" w:rsidP="00F07D3D">
            <w:pPr>
              <w:numPr>
                <w:ilvl w:val="0"/>
                <w:numId w:val="30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0E84AF3B" w14:textId="77777777" w:rsidR="00F07D3D" w:rsidRP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134329FA" w14:textId="77777777" w:rsidR="00F07D3D" w:rsidRP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p w14:paraId="12AE107F" w14:textId="77777777" w:rsidR="00F07D3D" w:rsidRP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F07D3D" w:rsidRPr="00F07D3D" w14:paraId="0FEFEB55" w14:textId="77777777" w:rsidTr="00FC2BFF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BA636" w14:textId="77777777" w:rsidR="00F07D3D" w:rsidRPr="00F07D3D" w:rsidRDefault="00F07D3D" w:rsidP="00F07D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 xml:space="preserve">  </w:t>
            </w:r>
            <w:r w:rsidRPr="00F07D3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ՏԵԽՆԻԿԱԿԱՆ ԱՌԱՋԱԴՐԱՆՔ 3</w:t>
            </w:r>
          </w:p>
          <w:p w14:paraId="4BE449CC" w14:textId="77777777" w:rsidR="00F07D3D" w:rsidRPr="00F07D3D" w:rsidRDefault="00F07D3D" w:rsidP="00F07D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ՄԱՍՆԱԳԵՏ՝ ՀՈԳԵԲՈՒՅԺ-ԹՄՐԱԲԱՆ</w:t>
            </w:r>
          </w:p>
        </w:tc>
      </w:tr>
      <w:tr w:rsidR="00F07D3D" w:rsidRPr="00F07D3D" w14:paraId="1F084925" w14:textId="77777777" w:rsidTr="00FC2BFF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5A7" w14:textId="77777777" w:rsidR="00F07D3D" w:rsidRPr="00F07D3D" w:rsidRDefault="00F07D3D" w:rsidP="00F07D3D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2 ամիս</w:t>
            </w:r>
          </w:p>
          <w:p w14:paraId="33C81CDE" w14:textId="77777777" w:rsidR="00F07D3D" w:rsidRPr="00F07D3D" w:rsidRDefault="00F07D3D" w:rsidP="00F07D3D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F07D3D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F07D3D" w:rsidRPr="00F07D3D" w14:paraId="0F66735C" w14:textId="77777777" w:rsidTr="00FC2BFF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86A" w14:textId="77777777" w:rsidR="00F07D3D" w:rsidRPr="00F07D3D" w:rsidRDefault="00F07D3D" w:rsidP="00F07D3D">
            <w:pPr>
              <w:numPr>
                <w:ilvl w:val="6"/>
                <w:numId w:val="16"/>
              </w:numPr>
              <w:spacing w:before="0" w:after="0"/>
              <w:ind w:left="785"/>
              <w:contextualSpacing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19175849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2FA2B0D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F07D3D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F07D3D" w:rsidRPr="00F07D3D" w14:paraId="59771F16" w14:textId="77777777" w:rsidTr="00FC2BF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8B1" w14:textId="77777777" w:rsidR="00F07D3D" w:rsidRPr="00F07D3D" w:rsidRDefault="00F07D3D" w:rsidP="00F07D3D">
            <w:pPr>
              <w:numPr>
                <w:ilvl w:val="6"/>
                <w:numId w:val="16"/>
              </w:numPr>
              <w:spacing w:before="0" w:after="0"/>
              <w:ind w:left="785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շրջանակները</w:t>
            </w:r>
            <w:proofErr w:type="spellEnd"/>
          </w:p>
          <w:p w14:paraId="6A4597F3" w14:textId="77777777" w:rsidR="00F07D3D" w:rsidRPr="00F07D3D" w:rsidRDefault="00F07D3D" w:rsidP="00F07D3D">
            <w:pPr>
              <w:spacing w:before="0" w:after="0"/>
              <w:ind w:left="172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Հոգեբույժ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–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նարկոլոգը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ներգրավվում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թմրամիջոցների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հոգեմետ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գործածման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ինչպես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նաև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գործածման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ընթացքում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դրանից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հետո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ուղղված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գործընթացում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։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Մասնագետը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ապահովում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գիտականորեն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հիմնավորված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տարիքային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առանձնահատկություններին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համապատասխան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գործնականում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կիրառելի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բովանդակություն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՝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ուղղված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անչափահասների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երիտասարդների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թիրախ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խմբին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։</w:t>
            </w:r>
          </w:p>
          <w:p w14:paraId="0AE32377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 ուղեցույցից բխող ուսումնական մոդուլ, իրականացնել 2-խմբերի համար 2-օրյա դասընթաց՝ ընդամենը՝ 4 դասընթաց:</w:t>
            </w:r>
          </w:p>
          <w:p w14:paraId="46D44C12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Ծրագրի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հաշվետվության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ներկայացում:</w:t>
            </w:r>
          </w:p>
        </w:tc>
      </w:tr>
      <w:tr w:rsidR="00F07D3D" w:rsidRPr="00F07D3D" w14:paraId="28769398" w14:textId="77777777" w:rsidTr="00FC2BF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2F2" w14:textId="77777777" w:rsidR="00F07D3D" w:rsidRPr="00F07D3D" w:rsidRDefault="00F07D3D" w:rsidP="00F07D3D">
            <w:pPr>
              <w:numPr>
                <w:ilvl w:val="6"/>
                <w:numId w:val="16"/>
              </w:numPr>
              <w:spacing w:before="0" w:after="0"/>
              <w:ind w:left="785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Իրականացման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F07D3D" w:rsidRPr="00F07D3D" w14:paraId="3A92FB22" w14:textId="77777777" w:rsidTr="00FC2BFF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459" w14:textId="77777777" w:rsidR="00F07D3D" w:rsidRPr="00F07D3D" w:rsidRDefault="00F07D3D" w:rsidP="00F07D3D">
            <w:pPr>
              <w:numPr>
                <w:ilvl w:val="6"/>
                <w:numId w:val="16"/>
              </w:numPr>
              <w:spacing w:before="0" w:after="0"/>
              <w:ind w:left="785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</w:p>
        </w:tc>
      </w:tr>
      <w:tr w:rsidR="00F07D3D" w:rsidRPr="00F07D3D" w14:paraId="5414A9E6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2A6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B690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F07D3D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F07D3D" w:rsidRPr="00F07D3D" w14:paraId="7D8FD0DB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280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հոգեմե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օգտագործման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կանխարգելման,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ինչպես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այդ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դեպքերում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ներգրավված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վարքային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խնդիրներ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ունեցող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անչափահասների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միջազգային փորձի ուսումնասիրում և վերլուծություն։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916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Թմրամիջոցների և հոգեմետ նյութերի օգտագործման կանխարգելման, ինչպես նաև այդ դեպքերում ներգրավված վարքային խնդիրներ ունեցող անչափահասների վերականգնման միջազգային փորձի ուսումնասիրման արդյունքների վերլուծության ներկայացում։</w:t>
            </w:r>
          </w:p>
        </w:tc>
      </w:tr>
      <w:tr w:rsidR="00F07D3D" w:rsidRPr="00F07D3D" w14:paraId="5725655F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908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Մասնակցել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հայեցակարգի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կառուցվածքի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մշակմանը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՝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նարկոլոգիական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հոգեբուժական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մոտեցումների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կիրառմամբ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AF8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արկոլոգիական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հոգեբուժական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մոտեցումների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կիրառմամբ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ուղեցույց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5D270475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014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Ներկայացնել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թմրամիջոցների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հոգեմետ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գործածման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ժամանակակից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մոտեցումները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2EB0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հոգեմետ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գործածման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ժամանակակից մոտեցումների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168EDA74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345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Նկարագրել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թմրամիջոցների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գործածման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ընթացքում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վարքաբանական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փոփոխությունները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4F1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մրամիջոցների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գործածման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ընթացքում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վարքաբանական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փոփոխությունների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40344D50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302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վաղ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միջամտության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վնասի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նվազեցման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մոտեցումներ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66A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Վ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միջամտության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վնասի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նվազեցման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մոտեցումնեի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4B5A4D54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BF9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Ներկայացնել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բուժմանն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հոգեբուժական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աջակցությանը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զուգահեռ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իրականացվող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մեխանիզմները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4FE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ուժմանն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հոգեբուժական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աջակցությանը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զուգահեռ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իրականացվող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մեխանիզմների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73988CBE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D2D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Նկարագրել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հոգեբանական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բժշկական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փուլերը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324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ոգեբանական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բժշկական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փուլերի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46791EC7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CB9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lastRenderedPageBreak/>
              <w:t>Ներկայացնել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ռեցիդիվի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մեթոդները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շարունակական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աջակցության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գործիքները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DCF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Ռ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եցիդիվի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մեթոդների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շարունակական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աջակցության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գործիքների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</w:tr>
      <w:tr w:rsidR="00F07D3D" w:rsidRPr="00F07D3D" w14:paraId="49ADDCA0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672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Ապահովել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համապատասխանությունը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ազգային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օրենսդրությանը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չափորոշիչներին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էթիկային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832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համապատասխանություն ազգային օրենսդրությանն ու   միջազգային չափորոշիչներին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:</w:t>
            </w:r>
          </w:p>
        </w:tc>
      </w:tr>
      <w:tr w:rsidR="00F07D3D" w:rsidRPr="00F07D3D" w14:paraId="2B8BDAF8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6B6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Մասնակցել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ըստ անհրաժեշտության,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փորձագիտական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գնահատմանը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խմբագրմանը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վերջնականացմանը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CC3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ավարտուն ներկայացում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:</w:t>
            </w:r>
          </w:p>
        </w:tc>
      </w:tr>
      <w:tr w:rsidR="00F07D3D" w:rsidRPr="00F07D3D" w14:paraId="07AD9642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5AD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Կազմել ուղեցույցից բխող ուսումնական մոդուլ, իրականացնել 2-խմբերի համար 2-օրյա դասընթաց՝ ընդամենը՝ 4 դասընթաց: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F8E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Դասընթացների իրականացում:</w:t>
            </w:r>
          </w:p>
        </w:tc>
      </w:tr>
      <w:tr w:rsidR="00F07D3D" w:rsidRPr="00F07D3D" w14:paraId="6618B091" w14:textId="77777777" w:rsidTr="00FC2BFF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545" w14:textId="77777777" w:rsidR="00F07D3D" w:rsidRPr="00F07D3D" w:rsidRDefault="00F07D3D" w:rsidP="00F07D3D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 xml:space="preserve">Ներկայացնել հաշվետվություն 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 w:eastAsia="ru-RU"/>
              </w:rPr>
              <w:t>Ծ</w:t>
            </w: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>րագրի շրջանակում կատարված աշխատանքների վերաբերյալ: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F0BF" w14:textId="77777777" w:rsidR="00F07D3D" w:rsidRPr="00F07D3D" w:rsidRDefault="00F07D3D" w:rsidP="00F07D3D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af-ZA" w:eastAsia="ru-RU"/>
              </w:rPr>
              <w:t>Հաշվետվության ներկայացում:</w:t>
            </w:r>
          </w:p>
        </w:tc>
      </w:tr>
      <w:tr w:rsidR="00F07D3D" w:rsidRPr="00F07D3D" w14:paraId="4EAF9DB6" w14:textId="77777777" w:rsidTr="00FC2BFF">
        <w:trPr>
          <w:trHeight w:val="201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B11" w14:textId="77777777" w:rsidR="00F07D3D" w:rsidRPr="00F07D3D" w:rsidRDefault="00F07D3D" w:rsidP="00F07D3D">
            <w:pPr>
              <w:keepNext/>
              <w:keepLines/>
              <w:numPr>
                <w:ilvl w:val="6"/>
                <w:numId w:val="16"/>
              </w:numPr>
              <w:spacing w:before="240" w:after="0"/>
              <w:ind w:left="785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</w:pP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Պահանջվող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որակավորում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աշխատանքային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փորձ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և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կարողություններ</w:t>
            </w:r>
          </w:p>
          <w:p w14:paraId="4F5BC6B3" w14:textId="77777777" w:rsidR="00F07D3D" w:rsidRPr="00F07D3D" w:rsidRDefault="00F07D3D" w:rsidP="00F07D3D">
            <w:pPr>
              <w:keepNext/>
              <w:keepLines/>
              <w:spacing w:before="24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Կրթություն</w:t>
            </w:r>
          </w:p>
          <w:p w14:paraId="0EE28D9B" w14:textId="77777777" w:rsidR="00F07D3D" w:rsidRPr="00F07D3D" w:rsidRDefault="00F07D3D" w:rsidP="00F07D3D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Բարձրագույն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բժշկական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կրթություն</w:t>
            </w:r>
            <w:proofErr w:type="spellEnd"/>
          </w:p>
          <w:p w14:paraId="245F3F37" w14:textId="77777777" w:rsidR="00F07D3D" w:rsidRPr="00F07D3D" w:rsidRDefault="00F07D3D" w:rsidP="00F07D3D">
            <w:pPr>
              <w:spacing w:before="100" w:beforeAutospacing="1" w:after="100" w:afterAutospacing="1"/>
              <w:ind w:left="72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07D3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Մասնագիտական փորձ</w:t>
            </w:r>
          </w:p>
          <w:p w14:paraId="7508D487" w14:textId="77777777" w:rsidR="00F07D3D" w:rsidRPr="00F07D3D" w:rsidRDefault="00F07D3D" w:rsidP="00F07D3D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Հոգեբույժ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–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նարկոլոգի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մասնագիտացում</w:t>
            </w:r>
            <w:proofErr w:type="spellEnd"/>
          </w:p>
          <w:p w14:paraId="6ECE3E0B" w14:textId="77777777" w:rsidR="00F07D3D" w:rsidRPr="00F07D3D" w:rsidRDefault="00F07D3D" w:rsidP="00F07D3D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Առնվազն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3–5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տարվա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աշխատանքային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կախվածությունների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բուժման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ոլորտում</w:t>
            </w:r>
            <w:proofErr w:type="spellEnd"/>
          </w:p>
          <w:p w14:paraId="792F27B3" w14:textId="77777777" w:rsidR="00F07D3D" w:rsidRPr="00F07D3D" w:rsidRDefault="00F07D3D" w:rsidP="00F07D3D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անչափահասների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և/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երիտասարդների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հետ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աշխատանքի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մեջ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(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պատադիր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)</w:t>
            </w:r>
          </w:p>
          <w:p w14:paraId="2112FA09" w14:textId="77777777" w:rsidR="00F07D3D" w:rsidRPr="00F07D3D" w:rsidRDefault="00F07D3D" w:rsidP="00F07D3D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Գիտելիքներ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վնասի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նվազեցման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շարունակական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խնամքի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մոդելների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վերաբերյալ</w:t>
            </w:r>
            <w:proofErr w:type="spellEnd"/>
          </w:p>
          <w:p w14:paraId="700EF66C" w14:textId="77777777" w:rsidR="00F07D3D" w:rsidRPr="00F07D3D" w:rsidRDefault="00F07D3D" w:rsidP="00F07D3D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Առնվազն մեկ ուղեցույցի մշակման փորձ՝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(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պատադիր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)</w:t>
            </w:r>
          </w:p>
          <w:p w14:paraId="09106E32" w14:textId="77777777" w:rsidR="00F07D3D" w:rsidRPr="00F07D3D" w:rsidRDefault="00F07D3D" w:rsidP="00F07D3D">
            <w:pPr>
              <w:keepNext/>
              <w:keepLines/>
              <w:spacing w:before="0" w:after="120"/>
              <w:ind w:left="142" w:firstLine="425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07D3D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56602970" w14:textId="77777777" w:rsidR="00F07D3D" w:rsidRPr="00F07D3D" w:rsidRDefault="00F07D3D" w:rsidP="00F07D3D">
            <w:pPr>
              <w:keepNext/>
              <w:keepLines/>
              <w:numPr>
                <w:ilvl w:val="0"/>
                <w:numId w:val="33"/>
              </w:numPr>
              <w:spacing w:before="0" w:after="12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Համակարգված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վերլուծական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մտածողություն</w:t>
            </w:r>
            <w:proofErr w:type="spellEnd"/>
          </w:p>
          <w:p w14:paraId="42228D25" w14:textId="77777777" w:rsidR="00F07D3D" w:rsidRPr="00F07D3D" w:rsidRDefault="00F07D3D" w:rsidP="00F07D3D">
            <w:pPr>
              <w:keepNext/>
              <w:keepLines/>
              <w:numPr>
                <w:ilvl w:val="0"/>
                <w:numId w:val="33"/>
              </w:numPr>
              <w:spacing w:before="0" w:after="12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Միջոլորտային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համագործակցության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կարողություն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(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կրթություն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ոլորտ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առողջապահություն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)</w:t>
            </w:r>
          </w:p>
          <w:p w14:paraId="428DAE04" w14:textId="77777777" w:rsidR="00F07D3D" w:rsidRPr="00F07D3D" w:rsidRDefault="00F07D3D" w:rsidP="00F07D3D">
            <w:pPr>
              <w:keepNext/>
              <w:keepLines/>
              <w:numPr>
                <w:ilvl w:val="0"/>
                <w:numId w:val="33"/>
              </w:numPr>
              <w:spacing w:before="0" w:after="12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գրավոր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հմտություններ</w:t>
            </w:r>
            <w:proofErr w:type="spellEnd"/>
          </w:p>
          <w:p w14:paraId="5059A6AB" w14:textId="77777777" w:rsidR="00F07D3D" w:rsidRPr="00F07D3D" w:rsidRDefault="00F07D3D" w:rsidP="00F07D3D">
            <w:pPr>
              <w:keepNext/>
              <w:keepLines/>
              <w:numPr>
                <w:ilvl w:val="0"/>
                <w:numId w:val="33"/>
              </w:numPr>
              <w:spacing w:before="0" w:after="12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Կոնֆիդենցիալության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էթիկական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սկզբունքների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պահպանում</w:t>
            </w:r>
            <w:proofErr w:type="spellEnd"/>
          </w:p>
          <w:p w14:paraId="1A5BD872" w14:textId="77777777" w:rsidR="00F07D3D" w:rsidRPr="00F07D3D" w:rsidRDefault="00F07D3D" w:rsidP="00F07D3D">
            <w:pPr>
              <w:numPr>
                <w:ilvl w:val="0"/>
                <w:numId w:val="33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508B5D96" w14:textId="77777777" w:rsidR="00F07D3D" w:rsidRPr="00F07D3D" w:rsidRDefault="00F07D3D" w:rsidP="00F07D3D">
            <w:pPr>
              <w:numPr>
                <w:ilvl w:val="0"/>
                <w:numId w:val="33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0D922AF9" w14:textId="77777777" w:rsidR="00F07D3D" w:rsidRPr="00F07D3D" w:rsidRDefault="00F07D3D" w:rsidP="00F07D3D">
            <w:pPr>
              <w:numPr>
                <w:ilvl w:val="0"/>
                <w:numId w:val="33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F07D3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F07D3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B874004" w14:textId="77777777" w:rsidR="00F07D3D" w:rsidRPr="00F07D3D" w:rsidRDefault="00F07D3D" w:rsidP="00F07D3D">
            <w:pPr>
              <w:numPr>
                <w:ilvl w:val="0"/>
                <w:numId w:val="33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07D3D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F07D3D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5D9F66E6" w14:textId="20F4EB29" w:rsidR="00A52A09" w:rsidRPr="00652C53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b/>
          <w:bCs/>
          <w:sz w:val="18"/>
          <w:szCs w:val="18"/>
          <w:lang w:val="af-ZA"/>
        </w:rPr>
      </w:pP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>Պատվիրատու</w:t>
      </w:r>
      <w:r w:rsidR="0097333A">
        <w:rPr>
          <w:rFonts w:ascii="GHEA Grapalat" w:hAnsi="GHEA Grapalat"/>
          <w:b/>
          <w:bCs/>
          <w:sz w:val="18"/>
          <w:szCs w:val="18"/>
          <w:lang w:val="af-ZA"/>
        </w:rPr>
        <w:t>`</w:t>
      </w: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 xml:space="preserve"> «</w:t>
      </w:r>
      <w:r w:rsidRPr="00652C53">
        <w:rPr>
          <w:rFonts w:ascii="GHEA Grapalat" w:hAnsi="GHEA Grapalat"/>
          <w:b/>
          <w:bCs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>»</w:t>
      </w:r>
      <w:r w:rsidRPr="00652C53">
        <w:rPr>
          <w:rFonts w:ascii="GHEA Grapalat" w:hAnsi="GHEA Grapalat"/>
          <w:b/>
          <w:bCs/>
          <w:sz w:val="18"/>
          <w:szCs w:val="18"/>
          <w:lang w:val="hy-AM"/>
        </w:rPr>
        <w:t xml:space="preserve"> ՊՈԱԿ</w:t>
      </w:r>
    </w:p>
    <w:sectPr w:rsidR="00A52A09" w:rsidRPr="00652C53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9A58" w14:textId="77777777" w:rsidR="00665123" w:rsidRDefault="00665123" w:rsidP="0022631D">
      <w:pPr>
        <w:spacing w:before="0" w:after="0"/>
      </w:pPr>
      <w:r>
        <w:separator/>
      </w:r>
    </w:p>
  </w:endnote>
  <w:endnote w:type="continuationSeparator" w:id="0">
    <w:p w14:paraId="18BAEAEB" w14:textId="77777777" w:rsidR="00665123" w:rsidRDefault="0066512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B0CC" w14:textId="77777777" w:rsidR="00665123" w:rsidRDefault="00665123" w:rsidP="0022631D">
      <w:pPr>
        <w:spacing w:before="0" w:after="0"/>
      </w:pPr>
      <w:r>
        <w:separator/>
      </w:r>
    </w:p>
  </w:footnote>
  <w:footnote w:type="continuationSeparator" w:id="0">
    <w:p w14:paraId="0942174C" w14:textId="77777777" w:rsidR="00665123" w:rsidRDefault="0066512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32342"/>
    <w:multiLevelType w:val="hybridMultilevel"/>
    <w:tmpl w:val="AEA6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B99"/>
    <w:multiLevelType w:val="multilevel"/>
    <w:tmpl w:val="016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01FA"/>
    <w:multiLevelType w:val="multilevel"/>
    <w:tmpl w:val="293A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BF6D64"/>
    <w:multiLevelType w:val="multilevel"/>
    <w:tmpl w:val="552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eastAsia="Calibri" w:cs="Sylfaen" w:hint="default"/>
        <w:b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03854"/>
    <w:multiLevelType w:val="multilevel"/>
    <w:tmpl w:val="3D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227DFC"/>
    <w:multiLevelType w:val="hybridMultilevel"/>
    <w:tmpl w:val="13BC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1B2D"/>
    <w:multiLevelType w:val="multilevel"/>
    <w:tmpl w:val="72E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82A"/>
    <w:multiLevelType w:val="hybridMultilevel"/>
    <w:tmpl w:val="8912FC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47956FA9"/>
    <w:multiLevelType w:val="hybridMultilevel"/>
    <w:tmpl w:val="EC02A9F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75B60"/>
    <w:multiLevelType w:val="hybridMultilevel"/>
    <w:tmpl w:val="4B6490B0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063C0"/>
    <w:multiLevelType w:val="hybridMultilevel"/>
    <w:tmpl w:val="F9F2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76505"/>
    <w:multiLevelType w:val="multilevel"/>
    <w:tmpl w:val="D06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eastAsia="Calibri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A04FA"/>
    <w:multiLevelType w:val="hybridMultilevel"/>
    <w:tmpl w:val="1C94A8B6"/>
    <w:lvl w:ilvl="0" w:tplc="CFE65CF4">
      <w:start w:val="1"/>
      <w:numFmt w:val="decimal"/>
      <w:lvlText w:val="%1."/>
      <w:lvlJc w:val="left"/>
      <w:pPr>
        <w:ind w:left="675" w:hanging="360"/>
      </w:pPr>
      <w:rPr>
        <w:rFonts w:eastAsia="Calibri" w:cs="Sylfaen"/>
        <w:b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D693F"/>
    <w:multiLevelType w:val="hybridMultilevel"/>
    <w:tmpl w:val="D124C81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C1409F9"/>
    <w:multiLevelType w:val="hybridMultilevel"/>
    <w:tmpl w:val="73AA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036CC"/>
    <w:multiLevelType w:val="hybridMultilevel"/>
    <w:tmpl w:val="D338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473D0"/>
    <w:multiLevelType w:val="hybridMultilevel"/>
    <w:tmpl w:val="9A26192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79A90A9F"/>
    <w:multiLevelType w:val="multilevel"/>
    <w:tmpl w:val="3A9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43F3A"/>
    <w:multiLevelType w:val="hybridMultilevel"/>
    <w:tmpl w:val="8DA8CF88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</w:num>
  <w:num w:numId="4">
    <w:abstractNumId w:val="0"/>
  </w:num>
  <w:num w:numId="5">
    <w:abstractNumId w:val="19"/>
  </w:num>
  <w:num w:numId="6">
    <w:abstractNumId w:val="26"/>
  </w:num>
  <w:num w:numId="7">
    <w:abstractNumId w:val="17"/>
  </w:num>
  <w:num w:numId="8">
    <w:abstractNumId w:val="15"/>
  </w:num>
  <w:num w:numId="9">
    <w:abstractNumId w:val="22"/>
  </w:num>
  <w:num w:numId="10">
    <w:abstractNumId w:val="14"/>
  </w:num>
  <w:num w:numId="11">
    <w:abstractNumId w:val="3"/>
  </w:num>
  <w:num w:numId="12">
    <w:abstractNumId w:val="3"/>
  </w:num>
  <w:num w:numId="13">
    <w:abstractNumId w:val="5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 w:numId="19">
    <w:abstractNumId w:val="7"/>
  </w:num>
  <w:num w:numId="20">
    <w:abstractNumId w:val="1"/>
  </w:num>
  <w:num w:numId="21">
    <w:abstractNumId w:val="20"/>
  </w:num>
  <w:num w:numId="22">
    <w:abstractNumId w:val="6"/>
  </w:num>
  <w:num w:numId="23">
    <w:abstractNumId w:val="2"/>
  </w:num>
  <w:num w:numId="24">
    <w:abstractNumId w:val="25"/>
  </w:num>
  <w:num w:numId="25">
    <w:abstractNumId w:val="12"/>
  </w:num>
  <w:num w:numId="26">
    <w:abstractNumId w:val="13"/>
  </w:num>
  <w:num w:numId="27">
    <w:abstractNumId w:val="10"/>
  </w:num>
  <w:num w:numId="28">
    <w:abstractNumId w:val="28"/>
  </w:num>
  <w:num w:numId="29">
    <w:abstractNumId w:val="18"/>
  </w:num>
  <w:num w:numId="30">
    <w:abstractNumId w:val="30"/>
  </w:num>
  <w:num w:numId="31">
    <w:abstractNumId w:val="27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47B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75A4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C6"/>
    <w:rsid w:val="00335816"/>
    <w:rsid w:val="003505E6"/>
    <w:rsid w:val="00350E31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2091A"/>
    <w:rsid w:val="00421508"/>
    <w:rsid w:val="00424549"/>
    <w:rsid w:val="00433E3C"/>
    <w:rsid w:val="00434868"/>
    <w:rsid w:val="004350CB"/>
    <w:rsid w:val="00443B59"/>
    <w:rsid w:val="004500D6"/>
    <w:rsid w:val="004502EC"/>
    <w:rsid w:val="00451617"/>
    <w:rsid w:val="004562B8"/>
    <w:rsid w:val="004611D1"/>
    <w:rsid w:val="00461631"/>
    <w:rsid w:val="0046213D"/>
    <w:rsid w:val="00464F68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5F38B3"/>
    <w:rsid w:val="00606ABF"/>
    <w:rsid w:val="00607C9A"/>
    <w:rsid w:val="00617B96"/>
    <w:rsid w:val="0063559C"/>
    <w:rsid w:val="00645D8C"/>
    <w:rsid w:val="00646760"/>
    <w:rsid w:val="00646DC8"/>
    <w:rsid w:val="00651F97"/>
    <w:rsid w:val="00652C53"/>
    <w:rsid w:val="006530F1"/>
    <w:rsid w:val="006545C4"/>
    <w:rsid w:val="00654C46"/>
    <w:rsid w:val="00657E78"/>
    <w:rsid w:val="006600FB"/>
    <w:rsid w:val="006647C5"/>
    <w:rsid w:val="00665123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183C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B6F19"/>
    <w:rsid w:val="007C1788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87D87"/>
    <w:rsid w:val="008920F2"/>
    <w:rsid w:val="00897BA8"/>
    <w:rsid w:val="008A3229"/>
    <w:rsid w:val="008A3840"/>
    <w:rsid w:val="008B1DB8"/>
    <w:rsid w:val="008B587E"/>
    <w:rsid w:val="008C38BA"/>
    <w:rsid w:val="008C4E62"/>
    <w:rsid w:val="008C7DC6"/>
    <w:rsid w:val="008D009F"/>
    <w:rsid w:val="008D3730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333A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47F1"/>
    <w:rsid w:val="00A45389"/>
    <w:rsid w:val="00A51FAF"/>
    <w:rsid w:val="00A52A09"/>
    <w:rsid w:val="00A63426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338E2"/>
    <w:rsid w:val="00B33B1E"/>
    <w:rsid w:val="00B375B8"/>
    <w:rsid w:val="00B451F6"/>
    <w:rsid w:val="00B45498"/>
    <w:rsid w:val="00B478A5"/>
    <w:rsid w:val="00B5364B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44D25"/>
    <w:rsid w:val="00C51179"/>
    <w:rsid w:val="00C517F0"/>
    <w:rsid w:val="00C5254C"/>
    <w:rsid w:val="00C55C8E"/>
    <w:rsid w:val="00C67FEC"/>
    <w:rsid w:val="00C71362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02D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07D3D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175A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7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8</Pages>
  <Words>3529</Words>
  <Characters>20121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158</cp:revision>
  <cp:lastPrinted>2024-03-13T13:23:00Z</cp:lastPrinted>
  <dcterms:created xsi:type="dcterms:W3CDTF">2023-04-26T07:28:00Z</dcterms:created>
  <dcterms:modified xsi:type="dcterms:W3CDTF">2026-03-12T10:00:00Z</dcterms:modified>
</cp:coreProperties>
</file>