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B7" w:rsidRPr="00D67FB7" w:rsidRDefault="00D67FB7" w:rsidP="00D67FB7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67FB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D67FB7" w:rsidRPr="00D67FB7" w:rsidRDefault="00D67FB7" w:rsidP="00D67FB7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67FB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D67FB7" w:rsidRPr="00687F40" w:rsidRDefault="00D67FB7" w:rsidP="00D67FB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7A1D77">
        <w:rPr>
          <w:rFonts w:ascii="Sylfaen" w:hAnsi="Sylfaen" w:cs="Sylfaen"/>
          <w:sz w:val="24"/>
          <w:szCs w:val="24"/>
          <w:lang w:val="es-ES"/>
        </w:rPr>
        <w:t>«</w:t>
      </w:r>
      <w:r w:rsidRPr="00A26BC3">
        <w:rPr>
          <w:rFonts w:ascii="Sylfaen" w:eastAsia="Times New Roman" w:hAnsi="Sylfaen" w:cs="Sylfaen"/>
          <w:sz w:val="20"/>
          <w:szCs w:val="20"/>
          <w:lang w:val="af-ZA" w:eastAsia="ru-RU"/>
        </w:rPr>
        <w:t>Թափառող կենդանիների վնասազերծման կենտրոն» ՀՈԱԿ, որը գտնվում է ք. Երևան</w:t>
      </w:r>
      <w:proofErr w:type="gramStart"/>
      <w:r w:rsidRPr="00A26BC3">
        <w:rPr>
          <w:rFonts w:ascii="Sylfaen" w:eastAsia="Times New Roman" w:hAnsi="Sylfaen" w:cs="Sylfaen"/>
          <w:sz w:val="20"/>
          <w:szCs w:val="20"/>
          <w:lang w:val="af-ZA" w:eastAsia="ru-RU"/>
        </w:rPr>
        <w:t>,Արցախի</w:t>
      </w:r>
      <w:proofErr w:type="gramEnd"/>
      <w:r w:rsidRPr="00A26BC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պ. 4-րդ նրբ.,12 հասցեում,ստորև ներկայացնում է իր կարիքների համար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անասնաբուժական </w:t>
      </w:r>
      <w:r w:rsidRPr="00A26BC3">
        <w:rPr>
          <w:rFonts w:ascii="Sylfaen" w:eastAsia="Times New Roman" w:hAnsi="Sylfaen" w:cs="Sylfaen"/>
          <w:sz w:val="20"/>
          <w:szCs w:val="20"/>
          <w:lang w:val="af-ZA" w:eastAsia="ru-RU"/>
        </w:rPr>
        <w:t>դեղորայքի ձ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եռքբերման նպատակով կազմակերպված</w:t>
      </w:r>
      <w:r w:rsidRPr="00A26BC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ԹԿՎԿ-ԳՀԱՊՁԲ-2023/18</w:t>
      </w:r>
      <w:r w:rsidRPr="00A26BC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ընթացակարգի արդյունքում 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44"/>
        <w:gridCol w:w="407"/>
        <w:gridCol w:w="709"/>
        <w:gridCol w:w="567"/>
        <w:gridCol w:w="48"/>
        <w:gridCol w:w="661"/>
        <w:gridCol w:w="696"/>
        <w:gridCol w:w="12"/>
        <w:gridCol w:w="142"/>
        <w:gridCol w:w="567"/>
        <w:gridCol w:w="522"/>
        <w:gridCol w:w="187"/>
        <w:gridCol w:w="506"/>
        <w:gridCol w:w="332"/>
        <w:gridCol w:w="600"/>
        <w:gridCol w:w="36"/>
        <w:gridCol w:w="168"/>
        <w:gridCol w:w="201"/>
        <w:gridCol w:w="140"/>
        <w:gridCol w:w="732"/>
        <w:gridCol w:w="39"/>
        <w:gridCol w:w="223"/>
        <w:gridCol w:w="413"/>
        <w:gridCol w:w="208"/>
        <w:gridCol w:w="26"/>
        <w:gridCol w:w="186"/>
        <w:gridCol w:w="35"/>
        <w:gridCol w:w="2035"/>
      </w:tblGrid>
      <w:tr w:rsidR="00D67FB7" w:rsidRPr="00D67FB7" w:rsidTr="00D67FB7">
        <w:trPr>
          <w:trHeight w:val="146"/>
        </w:trPr>
        <w:tc>
          <w:tcPr>
            <w:tcW w:w="370" w:type="dxa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42" w:type="dxa"/>
            <w:gridSpan w:val="28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D67F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67F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9F0254" w:rsidRPr="002073DA" w:rsidTr="009F0254">
        <w:trPr>
          <w:trHeight w:val="110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չափաբաժնի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անվանումը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չափման միավորը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նախահաշվային գինը 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համառոտ նկարագրությունը (տեխնիկական բնութագիր)</w:t>
            </w:r>
          </w:p>
        </w:tc>
        <w:tc>
          <w:tcPr>
            <w:tcW w:w="2903" w:type="dxa"/>
            <w:gridSpan w:val="6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F0254" w:rsidRPr="00D67FB7" w:rsidTr="009F0254">
        <w:trPr>
          <w:trHeight w:val="175"/>
        </w:trPr>
        <w:tc>
          <w:tcPr>
            <w:tcW w:w="370" w:type="dxa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D67F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2977" w:type="dxa"/>
            <w:gridSpan w:val="10"/>
            <w:vMerge/>
            <w:shd w:val="clear" w:color="auto" w:fill="auto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03" w:type="dxa"/>
            <w:gridSpan w:val="6"/>
            <w:vMerge/>
            <w:shd w:val="clear" w:color="auto" w:fill="auto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F0254" w:rsidRPr="00D67FB7" w:rsidTr="009F0254">
        <w:trPr>
          <w:trHeight w:val="275"/>
        </w:trPr>
        <w:tc>
          <w:tcPr>
            <w:tcW w:w="3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F0254" w:rsidRPr="002073DA" w:rsidTr="009F0254">
        <w:trPr>
          <w:trHeight w:val="40"/>
        </w:trPr>
        <w:tc>
          <w:tcPr>
            <w:tcW w:w="370" w:type="dxa"/>
            <w:shd w:val="clear" w:color="auto" w:fill="auto"/>
            <w:vAlign w:val="center"/>
          </w:tcPr>
          <w:p w:rsidR="009F0254" w:rsidRPr="00D67FB7" w:rsidRDefault="009F0254" w:rsidP="009F02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հակաբակտերիալ միջոցներ` պարբերական օգտագործման համար /պենիստրեպ/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90000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90000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254" w:rsidRPr="009F0254" w:rsidRDefault="009F0254" w:rsidP="009F0254">
            <w:pPr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Միջազգային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չպատենտավորված  կամ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քիմիական անվանումները.</w:t>
            </w:r>
          </w:p>
          <w:p w:rsidR="009F0254" w:rsidRPr="009F0254" w:rsidRDefault="009F0254" w:rsidP="009F0254">
            <w:pPr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Penicillin, streptomycin: Լայն սպեկտրով համակցված հակաբակտերիալ դեղամիջոց։ Ակտիվ է գրամ դրական և գրամ-բացասական բակտերիաների և Actinomyces spp- ի որոշ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շտամների  դեմ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: Դանդաղ ներծծվում և երկարատև ազդեցություն է ունենում ներմկանային ներարկման դեպքում։  Ֆարմակոթերապևտիկ խումբը Անտիբիոտիկներ, Համակցված հակաբակտերիալ պրեպարատներ։           Կաթնային էմուլսիա 100 մլ ապակե շշով: 1մլ-ում պարունակում է պրոկաին պենիցիլլին G 100000 ME, Բենզատին պենիցիլլին G 100000ME, Դիհիդրոստրեպտոմիցին սուլֆատ 200մգ, Լցոնիչ և լրացուցիչ նյութեր մինչև 1մլ։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254" w:rsidRPr="009F0254" w:rsidRDefault="009F0254" w:rsidP="009F0254">
            <w:pPr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Միջազգային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չպատենտավորված  կամ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քիմիական անվանումները.</w:t>
            </w:r>
          </w:p>
          <w:p w:rsidR="009F0254" w:rsidRPr="009F0254" w:rsidRDefault="009F0254" w:rsidP="009F0254">
            <w:pPr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Penicillin, streptomycin: Լայն սպեկտրով համակցված հակաբակտերիալ դեղամիջոց։ Ակտիվ է գրամ դրական և գրամ-բացասական բակտերիաների և Actinomyces spp- ի որոշ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շտամների  դեմ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: Դանդաղ ներծծվում և երկարատև ազդեցություն է ունենում ներմկանային ներարկման դեպքում։  Ֆարմակոթերապևտիկ խումբը Անտիբիոտիկներ, Համակցված հակաբակտերիալ պրեպարատներ։           Կաթնային էմուլսիա 100 մլ ապակե շշով: 1մլ-ում պարունակում է պրոկաին պենիցիլլին G 100000 ME, Բենզատին պենիցիլլին G 100000ME, Դիհիդրոստրեպտոմիցին սուլֆատ 200մգ, Լցոնիչ և լրացուցիչ նյութեր մինչև 1մլ։</w:t>
            </w:r>
          </w:p>
        </w:tc>
      </w:tr>
      <w:tr w:rsidR="009F0254" w:rsidRPr="002073DA" w:rsidTr="009F0254">
        <w:trPr>
          <w:trHeight w:val="182"/>
        </w:trPr>
        <w:tc>
          <w:tcPr>
            <w:tcW w:w="3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254" w:rsidRPr="00D67FB7" w:rsidRDefault="009F0254" w:rsidP="009F02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4" w:rsidRPr="00D67FB7" w:rsidRDefault="009F0254" w:rsidP="009F0254">
            <w:pPr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հակաբակտերիալ միջոցներ` պարբերական օգտագործման համար /սփրեյ արտաքին/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11000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11000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Ցողարկիչով, ճնշման տակ գտնվող ալյումինե սփրեյի տարայով 200մլ տարողությամբ, </w:t>
            </w:r>
          </w:p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արտահայտված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հակաբակտերիալ և հակաբորբոքային սփրեյ է։ 1մլ-ում պարունակվում է 20մգ քլորտետրացիկլին հիդրոքլորիդ և 5մգ գենցիան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վիոլետ ,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լրացուցիչ նյութեր </w:t>
            </w:r>
            <w:r w:rsidRPr="009F025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․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իզոպրոպիլիդեն գլիցերոլ, պոլիսորբատ 80, իզոպրոպիլենային սպիրտ, պրոպելլենտ պրոպել-45։Ակտիվ է գրամ դրական և գրամ-բացասական բակտերիաների այդ թվում Streptococcus spp., Haemophilus spp., Klebsiella spp., Clostridium spp. Դեմ: Քլորտետրացիկլինի հիդրոքլորիդի ազդման մեխանիզմը հիմնված է միկրոբային բջջի սպիտակուցային սինթեզի ճնշման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վրա(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ռիբոսոմների ֆունկցիայի բլոկավորում) և ՌՆԹ-ի սինթեզի բլոկավորում։ Գենցիան վիոլետը հանդիսանում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է  հակամիկրոբային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և հակասնկային ազդեցության հակասեպտիկ միջոց, որն ակտիվ է որոշ գրամբացասական բակտերիաների դեմ։            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Ցողարկիչով, ճնշման տակ գտնվող ալյումինե սփրեյի տարայով 200մլ տարողությամբ, </w:t>
            </w:r>
          </w:p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արտահայտված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հակաբակտերիալ և հակաբորբոքային սփրեյ է։ 1մլ-ում պարունակվում է 20մգ քլորտետրացիկլին հիդրոքլորիդ և 5մգ գենցիան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վիոլետ ,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լրացուցիչ նյութեր </w:t>
            </w:r>
            <w:r w:rsidRPr="009F025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․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իզոպրոպիլիդեն գլիցերոլ, պոլիսորբատ 80, իզոպրոպիլենային սպիրտ, պրոպելլենտ պրոպել-45։Ակտիվ է գրամ դրական և գրամ-բացասական բակտերիաների այդ թվում Streptococcus spp., Haemophilus spp., Klebsiella spp., Clostridium spp. Դեմ: Քլորտետրացիկլինի հիդրոքլորիդի ազդման մեխանիզմը հիմնված է միկրոբային բջջի սպիտակուցային սինթեզի ճնշման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վրա(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ռիբոսոմների ֆունկցիայի բլոկավորում) և ՌՆԹ-ի սինթեզի բլոկավորում։ Գենցիան վիոլետը հանդիսանում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է  հակամիկրոբային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և հակասնկային ազդեցության հակասեպտիկ միջոց, որն ակտիվ է որոշ գրամբացասական բակտերիաների դեմ։            </w:t>
            </w:r>
          </w:p>
        </w:tc>
      </w:tr>
      <w:tr w:rsidR="009F0254" w:rsidRPr="002073DA" w:rsidTr="002073DA">
        <w:trPr>
          <w:trHeight w:val="182"/>
        </w:trPr>
        <w:tc>
          <w:tcPr>
            <w:tcW w:w="3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254" w:rsidRDefault="009F0254" w:rsidP="009F02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կատաղության դեմ պատվաստանյութ j07bg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2000000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Պատվաստանյութ կատաղության հիվանդության պրոֆիլակտիկայի համար: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Դեղորայքային ձևը՝ վարդագույն կամ դեղնա-շագանակագույն սուսպենզիա ներարկման համար: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Պատրաստված 2.0 М.Е. ինակտիվացրած  շտամի կատաղության վիրուսից(շտամ «Pasteur RIV»), որպես ադյուվանտ՝ ալյումինի հիդրոքսիդի ավելացմամբ, որպես կոնսերվանտ ՝ գենտամիցինի և/կամ մերտիոլյատի ավելացմամբ: Յուրաքանչյուր չափաբաժինը 1 մլ ծավալով, առանձին 1 միլիլիտրանոց սրվակներում: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Պիտանելիության ժամկետը ոչ պակաս 18 ամիս ձեռքբերման օրվանից։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Ռեվակցինացիայի անհրաժեշտությունը առաջին  ներարկումից հետո կատաղությամբ անապահով տարածքներում՝  ոչ շուտ քան մեկ տարի անց, կատաղությամբ ապահով տարածքներում երեք տարի անց: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Մատակարարը պարտավոր է ապահովել պատվաստանյութի պահպանման ջերմային ռեժիմը, մինչև սպառողին հանձնելը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Պատվաստանյութ կատաղության հիվանդության պրոֆիլակտիկայի համար: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Դեղորայքային ձևը՝ վարդագույն կամ դեղնա-շագանակագույն սուսպենզիա ներարկման համար: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Պատրաստված 2.0 М.Е. ինակտիվացրած  շտամի կատաղության վիրուսից(շտամ «Pasteur RIV»), որպես ադյուվանտ՝ ալյումինի հիդրոքսիդի ավելացմամբ, որպես կոնսերվանտ ՝ գենտամիցինի և/կամ մերտիոլյատի ավելացմամբ: Յուրաքանչյուր չափաբաժինը 1 մլ ծավալով, առանձին 1 միլիլիտրանոց սրվակներում: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Պիտանելիության ժամկետը ոչ պակաս 18 ամիս ձեռքբերման օրվանից։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Ռեվակցինացիայի անհրաժեշտությունը առաջին  ներարկումից հետո կատաղությամբ անապահով տարածքներում՝  ոչ շուտ քան մեկ տարի անց, կատաղությամբ ապահով տարածքներում երեք տարի անց: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Մատակարարը պարտավոր է ապահովել պատվաստանյութի պահպանման ջերմային ռեժիմը, մինչև սպառողին հանձնելը</w:t>
            </w:r>
          </w:p>
        </w:tc>
      </w:tr>
      <w:tr w:rsidR="009F0254" w:rsidRPr="002073DA" w:rsidTr="002073DA">
        <w:trPr>
          <w:trHeight w:val="182"/>
        </w:trPr>
        <w:tc>
          <w:tcPr>
            <w:tcW w:w="37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254" w:rsidRDefault="009F0254" w:rsidP="009F02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այլ դեղորայք (քսիլազին)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280000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280000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2% լուծույթ Ստերիլ ներարկման լուծույթ անասնաբուժական օգտագործման համար։                                                  Միջազգային չպատենտավորված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անվանումը  Քսիլազինի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հիդրոքլորիդ, /Xylazine hydrochloride,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Ксилазина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гидрохлорид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/:                                        Սինոնիմներ</w:t>
            </w:r>
            <w:r w:rsidRPr="009F025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․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Ксиланит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,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Ксила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,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Рометар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,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Седазин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և այլն։                       Ֆարմակոթերապևտիկ խումբը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lastRenderedPageBreak/>
              <w:t>α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2-ադրենոռեցեպտորների ոչ սելեկտիվ ագոնիստ, Թիազինի ածանցյալների խմբի սեդատիվ պրեպարատներ 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Բաղադրությունը 1 մլ լուծույթում.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Քսիլազինի հիդրոքլորիդ .......... 20 մգ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Լցոնիչ .................................. մինչև 1 մլ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Նկարագիրը: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Արտաքին տեսքից թափանցիկ, անգույն լուծույթ է:                                   Պահպանումը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Պահվում է չոր, մութ տեղում `15 - 25 ° C ջերմաստիճանում: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Փաթեթավորում - 50 մլ թափանցիկ ապակե սրվակում ռետինե կափարիչով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lastRenderedPageBreak/>
              <w:t xml:space="preserve">2% լուծույթ Ստերիլ ներարկման լուծույթ անասնաբուժական օգտագործման համար։                                                  Միջազգային չպատենտավորված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անվանումը  Քսիլազինի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հիդրոքլորիդ, /Xylazine hydrochloride,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Ксилазина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гидрохлорид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/:                                        Սինոնիմներ</w:t>
            </w:r>
            <w:r w:rsidRPr="009F025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․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Ксиланит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,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Ксила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,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Рометар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,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t>Седазин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և այլն։                       Ֆարմակոթերապևտիկ խումբը </w:t>
            </w:r>
            <w:r w:rsidRPr="009F0254">
              <w:rPr>
                <w:rFonts w:ascii="Sylfaen" w:eastAsia="Times New Roman" w:hAnsi="Sylfaen" w:cs="Sylfaen" w:hint="eastAsia"/>
                <w:sz w:val="12"/>
                <w:szCs w:val="12"/>
                <w:lang w:val="en-US" w:eastAsia="ru-RU"/>
              </w:rPr>
              <w:lastRenderedPageBreak/>
              <w:t>α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2-ադրենոռեցեպտորների ոչ սելեկտիվ ագոնիստ, Թիազինի ածանցյալների խմբի սեդատիվ պրեպարատներ 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Բաղադրությունը 1 մլ լուծույթում.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Քսիլազինի հիդրոքլորիդ .......... 20 մգ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Լցոնիչ .................................. մինչև 1 մլ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Նկարագիրը: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Արտաքին տեսքից թափանցիկ, անգույն լուծույթ է:                                   Պահպանումը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Պահվում է չոր, մութ տեղում `15 - 25 ° C ջերմաստիճանում: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Փաթեթավորում - 50 մլ թափանցիկ ապակե սրվակում ռետինե կափարիչով</w:t>
            </w:r>
          </w:p>
        </w:tc>
      </w:tr>
      <w:tr w:rsidR="009F0254" w:rsidRPr="002073DA" w:rsidTr="002073DA">
        <w:trPr>
          <w:trHeight w:val="182"/>
        </w:trPr>
        <w:tc>
          <w:tcPr>
            <w:tcW w:w="3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254" w:rsidRDefault="009F0254" w:rsidP="009F025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:rsidR="009F0254" w:rsidRPr="00D67FB7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ինտերմեկտին / իվերմեկտին QP54AA01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F0254" w:rsidRPr="009F0254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75000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D67FB7" w:rsidRDefault="009F0254" w:rsidP="009F0254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75000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Առևտրային անվանումը     Իվերմեկտին (Ivermectin) 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Միջազգային անվանումը   Իվերմեկտին (Ivermectin)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Դեղաձևը: լուծույթ, ներարկման համար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Բաղադրություն՝ 1մլ պարունակում է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br/>
              <w:t>Իվերմեկտին 10մգ</w:t>
            </w:r>
            <w:r w:rsidRPr="009F025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․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br/>
              <w:t>Նկարագրություն: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br/>
              <w:t xml:space="preserve">Հակապարազիտային պրեպարատ շների արտաքին և ներքին պարազիտների դեմ: 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Դեղաչափը և թողարկման ձևը (փաթեթավորումը):  10մգ/մլ ստերիլ լուծույթ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100մլ  ապակե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դարչնագույն սրվակներում։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Պահպանումը և տեղափոխումը իրականացվում է համաձայն արտաքին փաթեթի կամ ներդիր-թերթիկի ցուցումների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Հանձման պահին պիտանելիության ժամկետի առկայություն առնվազն 2/3</w:t>
            </w:r>
          </w:p>
        </w:tc>
        <w:tc>
          <w:tcPr>
            <w:tcW w:w="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Առևտրային անվանումը     Իվերմեկտին (Ivermectin) 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Միջազգային անվանումը   Իվերմեկտին (Ivermectin)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Դեղաձևը: լուծույթ, ներարկման համար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Բաղադրություն՝ 1մլ պարունակում է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br/>
              <w:t>Իվերմեկտին 10մգ</w:t>
            </w:r>
            <w:r w:rsidRPr="009F0254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․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br/>
              <w:t>Նկարագրություն:</w:t>
            </w: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br/>
              <w:t xml:space="preserve">Հակապարազիտային պրեպարատ շների արտաքին և ներքին պարազիտների դեմ: 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Դեղաչափը և թողարկման ձևը (փաթեթավորումը):  10մգ/մլ ստերիլ լուծույթ </w:t>
            </w:r>
            <w:proofErr w:type="gramStart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100մլ  ապակե</w:t>
            </w:r>
            <w:proofErr w:type="gramEnd"/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 xml:space="preserve"> դարչնագույն սրվակներում։</w:t>
            </w:r>
          </w:p>
          <w:p w:rsidR="009F0254" w:rsidRPr="009F0254" w:rsidRDefault="009F0254" w:rsidP="009F0254">
            <w:pPr>
              <w:spacing w:after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Պահպանումը և տեղափոխումը իրականացվում է համաձայն արտաքին փաթեթի կամ ներդիր-թերթիկի ցուցումների</w:t>
            </w:r>
          </w:p>
          <w:p w:rsidR="009F0254" w:rsidRPr="009F0254" w:rsidRDefault="009F0254" w:rsidP="009F02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Հանձման պահին պիտանելիության ժամկետի առկայություն առնվազն 2/3</w:t>
            </w:r>
          </w:p>
        </w:tc>
      </w:tr>
      <w:tr w:rsidR="00D67FB7" w:rsidRPr="002073DA" w:rsidTr="009F0254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7FB7" w:rsidRPr="002073DA" w:rsidTr="009F0254">
        <w:trPr>
          <w:trHeight w:val="137"/>
        </w:trPr>
        <w:tc>
          <w:tcPr>
            <w:tcW w:w="3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9F0254" w:rsidP="00D67F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1165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Կիրառվել է գնանշման հարցում՝ հիմք ընդունելով «Գնումների մասին» ՀՀ օրենքի 22-րդ հոդվածի 1-ին մասը:</w:t>
            </w:r>
          </w:p>
        </w:tc>
      </w:tr>
      <w:tr w:rsidR="00D67FB7" w:rsidRPr="002073DA" w:rsidTr="009F0254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7FB7" w:rsidRPr="00D67FB7" w:rsidTr="009F0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9F0254" w:rsidP="009F02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15.05.2023թ</w:t>
            </w:r>
          </w:p>
        </w:tc>
      </w:tr>
      <w:tr w:rsidR="00D67FB7" w:rsidRPr="00D67FB7" w:rsidTr="009F0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62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րավերում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կատարված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 ամսաթիվը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2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9F0254" w:rsidP="009F02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</w:tr>
      <w:tr w:rsidR="00D67FB7" w:rsidRPr="00D67FB7" w:rsidTr="009F0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623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D67FB7" w:rsidRPr="00D67FB7" w:rsidTr="009F0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62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2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D67FB7" w:rsidRPr="00D67FB7" w:rsidTr="009F0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623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2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9F0254" w:rsidP="009F02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9F0254" w:rsidP="009F02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</w:p>
        </w:tc>
      </w:tr>
      <w:tr w:rsidR="00D67FB7" w:rsidRPr="00D67FB7" w:rsidTr="009F0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623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D67FB7" w:rsidRPr="00D67FB7" w:rsidTr="009F0254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67FB7" w:rsidRPr="002073DA" w:rsidTr="000F6F06">
        <w:trPr>
          <w:trHeight w:val="605"/>
        </w:trPr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7156" w:type="dxa"/>
            <w:gridSpan w:val="19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/ՀՀ դրամ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</w:tr>
      <w:tr w:rsidR="00D67FB7" w:rsidRPr="00D67FB7" w:rsidTr="000F6F06">
        <w:trPr>
          <w:trHeight w:val="365"/>
        </w:trPr>
        <w:tc>
          <w:tcPr>
            <w:tcW w:w="1221" w:type="dxa"/>
            <w:gridSpan w:val="3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714" w:type="dxa"/>
            <w:gridSpan w:val="6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D67FB7" w:rsidRPr="00D67FB7" w:rsidTr="000F6F06">
        <w:trPr>
          <w:trHeight w:val="83"/>
        </w:trPr>
        <w:tc>
          <w:tcPr>
            <w:tcW w:w="1221" w:type="dxa"/>
            <w:gridSpan w:val="3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 1</w:t>
            </w:r>
          </w:p>
        </w:tc>
        <w:tc>
          <w:tcPr>
            <w:tcW w:w="9991" w:type="dxa"/>
            <w:gridSpan w:val="26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2073DA" w:rsidRPr="00D67FB7" w:rsidTr="002073DA">
        <w:trPr>
          <w:trHeight w:val="83"/>
        </w:trPr>
        <w:tc>
          <w:tcPr>
            <w:tcW w:w="1221" w:type="dxa"/>
            <w:gridSpan w:val="3"/>
            <w:shd w:val="clear" w:color="auto" w:fill="auto"/>
            <w:vAlign w:val="center"/>
          </w:tcPr>
          <w:p w:rsidR="002073DA" w:rsidRPr="00D67FB7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2073DA" w:rsidRPr="00D67FB7" w:rsidRDefault="002073DA" w:rsidP="002073D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F6F0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«Սաթենիկ Գրիգորյան Հովհաննեսի» ԱՁ</w:t>
            </w:r>
          </w:p>
        </w:tc>
        <w:tc>
          <w:tcPr>
            <w:tcW w:w="2714" w:type="dxa"/>
            <w:gridSpan w:val="6"/>
            <w:vAlign w:val="center"/>
          </w:tcPr>
          <w:p w:rsidR="002073DA" w:rsidRPr="002073DA" w:rsidRDefault="002073DA" w:rsidP="002073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63750 </w:t>
            </w:r>
          </w:p>
        </w:tc>
        <w:tc>
          <w:tcPr>
            <w:tcW w:w="2160" w:type="dxa"/>
            <w:gridSpan w:val="9"/>
            <w:vAlign w:val="center"/>
          </w:tcPr>
          <w:p w:rsidR="002073DA" w:rsidRPr="002073DA" w:rsidRDefault="002073DA" w:rsidP="002073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12750</w:t>
            </w:r>
          </w:p>
        </w:tc>
        <w:tc>
          <w:tcPr>
            <w:tcW w:w="2282" w:type="dxa"/>
            <w:gridSpan w:val="4"/>
            <w:vAlign w:val="center"/>
          </w:tcPr>
          <w:p w:rsidR="002073DA" w:rsidRPr="002073DA" w:rsidRDefault="002073DA" w:rsidP="002073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76500</w:t>
            </w:r>
          </w:p>
        </w:tc>
      </w:tr>
      <w:tr w:rsidR="00D67FB7" w:rsidRPr="00D67FB7" w:rsidTr="009F0254">
        <w:tc>
          <w:tcPr>
            <w:tcW w:w="11212" w:type="dxa"/>
            <w:gridSpan w:val="29"/>
            <w:shd w:val="clear" w:color="auto" w:fill="auto"/>
            <w:vAlign w:val="center"/>
          </w:tcPr>
          <w:p w:rsidR="00D67FB7" w:rsidRPr="002073DA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Չափաբաժին 2</w:t>
            </w:r>
          </w:p>
        </w:tc>
      </w:tr>
      <w:tr w:rsidR="00D67FB7" w:rsidRPr="00D67FB7" w:rsidTr="000F6F06">
        <w:tc>
          <w:tcPr>
            <w:tcW w:w="1221" w:type="dxa"/>
            <w:gridSpan w:val="3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D67FB7" w:rsidRPr="00D67FB7" w:rsidRDefault="000F6F06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F6F0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«Սաթենիկ Գրիգորյան Հովհաննեսի» ԱՁ</w:t>
            </w:r>
          </w:p>
        </w:tc>
        <w:tc>
          <w:tcPr>
            <w:tcW w:w="2750" w:type="dxa"/>
            <w:gridSpan w:val="7"/>
            <w:shd w:val="clear" w:color="auto" w:fill="auto"/>
            <w:vAlign w:val="center"/>
          </w:tcPr>
          <w:p w:rsidR="00D67FB7" w:rsidRPr="00D67FB7" w:rsidRDefault="002073DA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D67FB7" w:rsidRPr="00D67FB7" w:rsidRDefault="002073DA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D67FB7" w:rsidRPr="00D67FB7" w:rsidRDefault="002073DA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9000</w:t>
            </w:r>
          </w:p>
        </w:tc>
      </w:tr>
      <w:tr w:rsidR="000F6F06" w:rsidRPr="00D67FB7" w:rsidTr="004C71B8">
        <w:tc>
          <w:tcPr>
            <w:tcW w:w="11212" w:type="dxa"/>
            <w:gridSpan w:val="29"/>
            <w:shd w:val="clear" w:color="auto" w:fill="auto"/>
            <w:vAlign w:val="center"/>
          </w:tcPr>
          <w:p w:rsidR="000F6F06" w:rsidRPr="00D67FB7" w:rsidRDefault="000F6F06" w:rsidP="000F6F0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Չափաբաժին 3</w:t>
            </w:r>
          </w:p>
        </w:tc>
      </w:tr>
      <w:tr w:rsidR="002073DA" w:rsidRPr="00D67FB7" w:rsidTr="002073DA">
        <w:tc>
          <w:tcPr>
            <w:tcW w:w="1221" w:type="dxa"/>
            <w:gridSpan w:val="3"/>
            <w:shd w:val="clear" w:color="auto" w:fill="auto"/>
            <w:vAlign w:val="center"/>
          </w:tcPr>
          <w:p w:rsidR="002073DA" w:rsidRPr="00D67FB7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2073DA" w:rsidRPr="00D67FB7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F6F0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«Սաթենիկ Գրիգորյան Հովհաննեսի» ԱՁ</w:t>
            </w:r>
          </w:p>
        </w:tc>
        <w:tc>
          <w:tcPr>
            <w:tcW w:w="2750" w:type="dxa"/>
            <w:gridSpan w:val="7"/>
            <w:vAlign w:val="center"/>
          </w:tcPr>
          <w:p w:rsidR="002073DA" w:rsidRPr="002073DA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1666667</w:t>
            </w:r>
          </w:p>
        </w:tc>
        <w:tc>
          <w:tcPr>
            <w:tcW w:w="2124" w:type="dxa"/>
            <w:gridSpan w:val="8"/>
            <w:vAlign w:val="center"/>
          </w:tcPr>
          <w:p w:rsidR="002073DA" w:rsidRPr="002073DA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333333</w:t>
            </w:r>
          </w:p>
        </w:tc>
        <w:tc>
          <w:tcPr>
            <w:tcW w:w="2282" w:type="dxa"/>
            <w:gridSpan w:val="4"/>
            <w:vAlign w:val="center"/>
          </w:tcPr>
          <w:p w:rsidR="002073DA" w:rsidRPr="002073DA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2000000</w:t>
            </w:r>
          </w:p>
        </w:tc>
      </w:tr>
      <w:tr w:rsidR="000F6F06" w:rsidRPr="00D67FB7" w:rsidTr="004C71B8">
        <w:tc>
          <w:tcPr>
            <w:tcW w:w="11212" w:type="dxa"/>
            <w:gridSpan w:val="29"/>
            <w:shd w:val="clear" w:color="auto" w:fill="auto"/>
            <w:vAlign w:val="center"/>
          </w:tcPr>
          <w:p w:rsidR="000F6F06" w:rsidRPr="00D67FB7" w:rsidRDefault="000F6F06" w:rsidP="002073D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Չափաբաժին 4</w:t>
            </w:r>
          </w:p>
        </w:tc>
      </w:tr>
      <w:tr w:rsidR="002073DA" w:rsidRPr="00D67FB7" w:rsidTr="002073DA">
        <w:tc>
          <w:tcPr>
            <w:tcW w:w="1221" w:type="dxa"/>
            <w:gridSpan w:val="3"/>
            <w:shd w:val="clear" w:color="auto" w:fill="auto"/>
            <w:vAlign w:val="center"/>
          </w:tcPr>
          <w:p w:rsidR="002073DA" w:rsidRPr="00D67FB7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2073DA" w:rsidRPr="00D67FB7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F6F0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«Սաթենիկ Գրիգորյան Հովհաննեսի» ԱՁ</w:t>
            </w:r>
          </w:p>
        </w:tc>
        <w:tc>
          <w:tcPr>
            <w:tcW w:w="2750" w:type="dxa"/>
            <w:gridSpan w:val="7"/>
            <w:vAlign w:val="center"/>
          </w:tcPr>
          <w:p w:rsidR="002073DA" w:rsidRPr="002073DA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233333</w:t>
            </w:r>
          </w:p>
        </w:tc>
        <w:tc>
          <w:tcPr>
            <w:tcW w:w="2124" w:type="dxa"/>
            <w:gridSpan w:val="8"/>
            <w:vAlign w:val="center"/>
          </w:tcPr>
          <w:p w:rsidR="002073DA" w:rsidRPr="002073DA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46667</w:t>
            </w:r>
          </w:p>
        </w:tc>
        <w:tc>
          <w:tcPr>
            <w:tcW w:w="2282" w:type="dxa"/>
            <w:gridSpan w:val="4"/>
            <w:vAlign w:val="center"/>
          </w:tcPr>
          <w:p w:rsidR="002073DA" w:rsidRPr="002073DA" w:rsidRDefault="002073DA" w:rsidP="00207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280000</w:t>
            </w:r>
          </w:p>
        </w:tc>
      </w:tr>
      <w:tr w:rsidR="000F6F06" w:rsidRPr="00D67FB7" w:rsidTr="004C71B8">
        <w:tc>
          <w:tcPr>
            <w:tcW w:w="11212" w:type="dxa"/>
            <w:gridSpan w:val="29"/>
            <w:shd w:val="clear" w:color="auto" w:fill="auto"/>
            <w:vAlign w:val="center"/>
          </w:tcPr>
          <w:p w:rsidR="000F6F06" w:rsidRPr="00D67FB7" w:rsidRDefault="000F6F06" w:rsidP="000F6F0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Չափաբաժին 5</w:t>
            </w:r>
          </w:p>
        </w:tc>
      </w:tr>
      <w:tr w:rsidR="009F0254" w:rsidRPr="00D67FB7" w:rsidTr="000F6F06">
        <w:tc>
          <w:tcPr>
            <w:tcW w:w="1221" w:type="dxa"/>
            <w:gridSpan w:val="3"/>
            <w:shd w:val="clear" w:color="auto" w:fill="auto"/>
            <w:vAlign w:val="center"/>
          </w:tcPr>
          <w:p w:rsidR="009F0254" w:rsidRPr="00D67FB7" w:rsidRDefault="000F6F06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9F0254" w:rsidRPr="00D67FB7" w:rsidRDefault="000F6F06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F6F0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«Սաթենիկ Գրիգորյան Հովհաննեսի» ԱՁ</w:t>
            </w:r>
          </w:p>
        </w:tc>
        <w:tc>
          <w:tcPr>
            <w:tcW w:w="2750" w:type="dxa"/>
            <w:gridSpan w:val="7"/>
            <w:shd w:val="clear" w:color="auto" w:fill="auto"/>
            <w:vAlign w:val="center"/>
          </w:tcPr>
          <w:p w:rsidR="009F0254" w:rsidRPr="00D67FB7" w:rsidRDefault="002073DA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57500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F0254" w:rsidRPr="00D67FB7" w:rsidRDefault="002073DA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11500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F0254" w:rsidRPr="00D67FB7" w:rsidRDefault="002073DA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69000</w:t>
            </w:r>
          </w:p>
        </w:tc>
      </w:tr>
      <w:tr w:rsidR="00D67FB7" w:rsidRPr="00D67FB7" w:rsidTr="009F0254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67FB7" w:rsidRPr="00D67FB7" w:rsidTr="009F0254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7FB7" w:rsidRPr="002073DA" w:rsidTr="002C66EE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683" w:type="dxa"/>
            <w:gridSpan w:val="3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871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(բավարար կամ անբավարար)</w:t>
            </w:r>
          </w:p>
        </w:tc>
      </w:tr>
      <w:tr w:rsidR="00D67FB7" w:rsidRPr="00D67FB7" w:rsidTr="002C66EE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D67FB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67FB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փաստաթղթերի </w:t>
            </w:r>
            <w:r w:rsidRPr="00D67FB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67FB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val="en-US" w:eastAsia="ru-RU"/>
              </w:rPr>
            </w:pPr>
            <w:r w:rsidRPr="00D67FB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67FB7" w:rsidRPr="00D67FB7" w:rsidTr="002C66EE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67FB7" w:rsidRPr="00D67FB7" w:rsidTr="002C66EE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67FB7" w:rsidRPr="002073DA" w:rsidTr="002C66EE">
        <w:trPr>
          <w:trHeight w:val="331"/>
        </w:trPr>
        <w:tc>
          <w:tcPr>
            <w:tcW w:w="2497" w:type="dxa"/>
            <w:gridSpan w:val="5"/>
            <w:shd w:val="clear" w:color="auto" w:fill="auto"/>
            <w:vAlign w:val="center"/>
          </w:tcPr>
          <w:p w:rsidR="00D67FB7" w:rsidRPr="00D67FB7" w:rsidRDefault="00D67FB7" w:rsidP="00D67F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715" w:type="dxa"/>
            <w:gridSpan w:val="24"/>
            <w:shd w:val="clear" w:color="auto" w:fill="auto"/>
            <w:vAlign w:val="center"/>
          </w:tcPr>
          <w:p w:rsidR="00D67FB7" w:rsidRPr="00D67FB7" w:rsidRDefault="00D67FB7" w:rsidP="00D67F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D67FB7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 w:rsidR="000F6F06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Մերժված հայտեր չկան:</w:t>
            </w:r>
          </w:p>
        </w:tc>
      </w:tr>
      <w:tr w:rsidR="00D67FB7" w:rsidRPr="002073DA" w:rsidTr="009F0254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67FB7" w:rsidRPr="00D67FB7" w:rsidTr="009F0254">
        <w:trPr>
          <w:trHeight w:val="346"/>
        </w:trPr>
        <w:tc>
          <w:tcPr>
            <w:tcW w:w="3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7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0F6F06" w:rsidP="000F6F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22.05.2023թ</w:t>
            </w:r>
          </w:p>
        </w:tc>
      </w:tr>
      <w:tr w:rsidR="00D67FB7" w:rsidRPr="00D67FB7" w:rsidTr="009F0254">
        <w:trPr>
          <w:trHeight w:val="92"/>
        </w:trPr>
        <w:tc>
          <w:tcPr>
            <w:tcW w:w="3914" w:type="dxa"/>
            <w:gridSpan w:val="9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D67FB7" w:rsidRPr="00D67FB7" w:rsidTr="009F0254">
        <w:trPr>
          <w:trHeight w:val="92"/>
        </w:trPr>
        <w:tc>
          <w:tcPr>
            <w:tcW w:w="391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0F6F06" w:rsidP="000F6F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0F6F06" w:rsidP="000F6F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</w:tr>
      <w:tr w:rsidR="00D67FB7" w:rsidRPr="00D67FB7" w:rsidTr="009F0254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7FB7" w:rsidRPr="004C71B8" w:rsidRDefault="00D67FB7" w:rsidP="000F6F0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F6F06" w:rsidRPr="004C71B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                                            </w:t>
            </w:r>
            <w:r w:rsidR="004C71B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      </w:t>
            </w:r>
            <w:r w:rsidR="000F6F06" w:rsidRPr="004C71B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23.05.2023</w:t>
            </w:r>
            <w:r w:rsidR="000F6F0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D67FB7" w:rsidRPr="00D67FB7" w:rsidTr="009F0254">
        <w:trPr>
          <w:trHeight w:val="344"/>
        </w:trPr>
        <w:tc>
          <w:tcPr>
            <w:tcW w:w="3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4C71B8" w:rsidRDefault="00D67FB7" w:rsidP="00D67F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ստորագրված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մոտ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7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4C71B8" w:rsidRDefault="004C71B8" w:rsidP="004C71B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30.05.2023թ</w:t>
            </w:r>
          </w:p>
        </w:tc>
      </w:tr>
      <w:tr w:rsidR="00D67FB7" w:rsidRPr="00D67FB7" w:rsidTr="009F0254">
        <w:trPr>
          <w:trHeight w:val="344"/>
        </w:trPr>
        <w:tc>
          <w:tcPr>
            <w:tcW w:w="3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4C71B8" w:rsidRDefault="00D67FB7" w:rsidP="00D67F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r w:rsidRPr="004C71B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7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4C71B8" w:rsidRDefault="004C71B8" w:rsidP="004C71B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01.06.2023թ</w:t>
            </w:r>
          </w:p>
        </w:tc>
      </w:tr>
      <w:tr w:rsidR="00D67FB7" w:rsidRPr="00D67FB7" w:rsidTr="009F0254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4C71B8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67FB7" w:rsidRPr="00D67FB7" w:rsidTr="002C66EE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683" w:type="dxa"/>
            <w:gridSpan w:val="3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8715" w:type="dxa"/>
            <w:gridSpan w:val="24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D67FB7" w:rsidRPr="00D67FB7" w:rsidTr="002C66EE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83" w:type="dxa"/>
            <w:gridSpan w:val="3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924" w:type="dxa"/>
            <w:gridSpan w:val="5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D67FB7" w:rsidRPr="00D67FB7" w:rsidTr="002C66EE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83" w:type="dxa"/>
            <w:gridSpan w:val="3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24" w:type="dxa"/>
            <w:gridSpan w:val="5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D67FB7" w:rsidRPr="00D67FB7" w:rsidTr="002C66EE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D67FB7" w:rsidRPr="00D67FB7" w:rsidTr="002C66EE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  <w:r w:rsidR="00113E7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,2,3,4,5</w:t>
            </w:r>
          </w:p>
        </w:tc>
        <w:tc>
          <w:tcPr>
            <w:tcW w:w="1683" w:type="dxa"/>
            <w:gridSpan w:val="3"/>
            <w:shd w:val="clear" w:color="auto" w:fill="auto"/>
            <w:vAlign w:val="center"/>
          </w:tcPr>
          <w:p w:rsidR="00D67FB7" w:rsidRPr="00D67FB7" w:rsidRDefault="00113E71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F6F0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«Սաթենիկ Գրիգորյան Հովհաննեսի» ԱՁ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D67FB7" w:rsidRPr="00D67FB7" w:rsidRDefault="002C66EE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C66E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ԹԿՎԿ-ԳՀԱՊՁԲ-2023/18</w:t>
            </w:r>
          </w:p>
        </w:tc>
        <w:tc>
          <w:tcPr>
            <w:tcW w:w="1924" w:type="dxa"/>
            <w:gridSpan w:val="5"/>
            <w:shd w:val="clear" w:color="auto" w:fill="auto"/>
            <w:vAlign w:val="center"/>
          </w:tcPr>
          <w:p w:rsidR="00D67FB7" w:rsidRPr="00D67FB7" w:rsidRDefault="004C71B8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01.06.2023թ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D67FB7" w:rsidRPr="00D67FB7" w:rsidRDefault="004C71B8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21.06.2023թ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D67FB7" w:rsidRPr="00D67FB7" w:rsidRDefault="004C71B8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67FB7" w:rsidRPr="00D67FB7" w:rsidRDefault="000D47A0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D47A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2434500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67FB7" w:rsidRPr="00D67FB7" w:rsidRDefault="000D47A0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D47A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2434500</w:t>
            </w:r>
          </w:p>
        </w:tc>
      </w:tr>
      <w:tr w:rsidR="00D67FB7" w:rsidRPr="00D67FB7" w:rsidTr="009F0254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D67FB7" w:rsidRPr="004C71B8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Ընտրված</w:t>
            </w:r>
            <w:r w:rsidRPr="004C71B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r w:rsidRPr="004C71B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r w:rsidRPr="004C71B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r w:rsidRPr="004C71B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4C71B8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</w:p>
        </w:tc>
      </w:tr>
      <w:tr w:rsidR="00D67FB7" w:rsidRPr="002073DA" w:rsidTr="002C66EE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Հասցե, հեռ.</w:t>
            </w:r>
          </w:p>
        </w:tc>
        <w:tc>
          <w:tcPr>
            <w:tcW w:w="20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1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Բանկային հաշիվը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D67FB7" w:rsidRPr="002C66EE" w:rsidTr="002C66EE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113E71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  <w:r w:rsidR="00113E7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,2,3,4,5</w:t>
            </w:r>
          </w:p>
        </w:tc>
        <w:tc>
          <w:tcPr>
            <w:tcW w:w="16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113E71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F6F0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«Սաթենիկ Գրիգորյան Հովհաննեսի» ԱՁ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Default="002C66EE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C66E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ՀՀ ք.Երևան,Գոշի 2 նրբ տ.6</w:t>
            </w:r>
          </w:p>
          <w:p w:rsidR="002C66EE" w:rsidRPr="00D67FB7" w:rsidRDefault="002C66EE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C66E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հեռ. 096 204 640</w:t>
            </w:r>
          </w:p>
        </w:tc>
        <w:tc>
          <w:tcPr>
            <w:tcW w:w="20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2073DA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hyperlink r:id="rId6" w:history="1">
              <w:r w:rsidR="002C66EE" w:rsidRPr="002C66EE">
                <w:rPr>
                  <w:rStyle w:val="Hyperlink"/>
                  <w:rFonts w:ascii="Sylfaen" w:eastAsia="Times New Roman" w:hAnsi="Sylfaen" w:cs="Times New Roman"/>
                  <w:b/>
                  <w:sz w:val="14"/>
                  <w:szCs w:val="14"/>
                  <w:lang w:val="en-US" w:eastAsia="ru-RU"/>
                </w:rPr>
                <w:t>grigoryansatenik@yandex.com</w:t>
              </w:r>
            </w:hyperlink>
          </w:p>
        </w:tc>
        <w:tc>
          <w:tcPr>
            <w:tcW w:w="1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0D47A0" w:rsidRDefault="000D47A0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1570088808800100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2C66EE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C66E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28000383</w:t>
            </w:r>
          </w:p>
        </w:tc>
      </w:tr>
      <w:tr w:rsidR="00D67FB7" w:rsidRPr="002C66EE" w:rsidTr="009F0254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2C66EE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7FB7" w:rsidRPr="002073DA" w:rsidTr="009F0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67FB7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67FB7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67FB7" w:rsidRPr="002073DA" w:rsidTr="009F0254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67FB7" w:rsidRPr="002073DA" w:rsidTr="009F0254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2C66EE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օրացուցային օրվա ընթացքում:</w:t>
            </w:r>
          </w:p>
          <w:p w:rsidR="00D67FB7" w:rsidRPr="00D67FB7" w:rsidRDefault="00D67FB7" w:rsidP="00D67FB7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Գրավոր պահանջին  կից ներկայացվում է՝</w:t>
            </w:r>
          </w:p>
          <w:p w:rsidR="00D67FB7" w:rsidRPr="00D67FB7" w:rsidRDefault="00D67FB7" w:rsidP="00D67FB7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67FB7" w:rsidRPr="00D67FB7" w:rsidRDefault="00D67FB7" w:rsidP="00D67FB7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ա. </w:t>
            </w:r>
            <w:proofErr w:type="gramStart"/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ֆիզիկական</w:t>
            </w:r>
            <w:proofErr w:type="gramEnd"/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անձանց քանակը չի կարող գերազանցել երկուսը.</w:t>
            </w:r>
          </w:p>
          <w:p w:rsidR="00D67FB7" w:rsidRPr="00D67FB7" w:rsidRDefault="00D67FB7" w:rsidP="00D67FB7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բ. </w:t>
            </w:r>
            <w:proofErr w:type="gramStart"/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ֆիզիկական</w:t>
            </w:r>
            <w:proofErr w:type="gramEnd"/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D67FB7" w:rsidRPr="00D67FB7" w:rsidRDefault="00D67FB7" w:rsidP="00D67FB7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67FB7" w:rsidRPr="00D67FB7" w:rsidRDefault="00D67FB7" w:rsidP="00D67FB7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3) </w:t>
            </w:r>
            <w:proofErr w:type="gramStart"/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այն</w:t>
            </w:r>
            <w:proofErr w:type="gramEnd"/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67FB7" w:rsidRPr="00D67FB7" w:rsidRDefault="00D67FB7" w:rsidP="00D67FB7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67FB7" w:rsidRPr="00D67FB7" w:rsidRDefault="00D67FB7" w:rsidP="00D67FB7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2C66EE" w:rsidRPr="000B566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="002B5AA6" w:rsidRPr="000B5666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yerevan.cnsa@gmail.com.</w:t>
            </w: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8"/>
            </w:r>
          </w:p>
        </w:tc>
      </w:tr>
      <w:tr w:rsidR="00D67FB7" w:rsidRPr="002073DA" w:rsidTr="009F0254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7FB7" w:rsidRPr="00D67FB7" w:rsidTr="009F0254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D67F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D67FB7" w:rsidRPr="002C66EE" w:rsidRDefault="002C66EE" w:rsidP="002C66E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D67FB7" w:rsidRPr="00D67FB7" w:rsidTr="009F0254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7FB7" w:rsidRPr="00D67FB7" w:rsidTr="009F0254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67FB7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2C66EE" w:rsidRDefault="002C66EE" w:rsidP="002C66E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D67FB7" w:rsidRPr="00D67FB7" w:rsidTr="009F0254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7FB7" w:rsidRPr="00D67FB7" w:rsidTr="009F0254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>ընթացակարգի</w:t>
            </w:r>
            <w:r w:rsidRPr="004C71B8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67F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2C66EE" w:rsidRDefault="002C66EE" w:rsidP="002C66E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D67FB7" w:rsidRPr="00D67FB7" w:rsidTr="009F0254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7FB7" w:rsidRPr="00D67FB7" w:rsidTr="009F0254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2C66EE" w:rsidP="002C66E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D67FB7" w:rsidRPr="00D67FB7" w:rsidTr="009F0254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D67FB7" w:rsidRPr="00D67FB7" w:rsidRDefault="00D67FB7" w:rsidP="00D67F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67FB7" w:rsidRPr="00D67FB7" w:rsidTr="009F0254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D67FB7" w:rsidRPr="004C71B8" w:rsidRDefault="00D67FB7" w:rsidP="00D67F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67FB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67FB7" w:rsidRPr="00D67FB7" w:rsidTr="009F0254">
        <w:trPr>
          <w:trHeight w:val="47"/>
        </w:trPr>
        <w:tc>
          <w:tcPr>
            <w:tcW w:w="24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4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D67F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D67F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2C66EE" w:rsidRPr="00D67FB7" w:rsidTr="004C71B8">
        <w:trPr>
          <w:trHeight w:val="47"/>
        </w:trPr>
        <w:tc>
          <w:tcPr>
            <w:tcW w:w="2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6EE" w:rsidRPr="00A26BC3" w:rsidRDefault="002C66EE" w:rsidP="002C66EE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Արմինե Հովհաննիսյան</w:t>
            </w:r>
          </w:p>
        </w:tc>
        <w:tc>
          <w:tcPr>
            <w:tcW w:w="4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6EE" w:rsidRPr="00A26BC3" w:rsidRDefault="002C66EE" w:rsidP="002C66EE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011 514 539</w:t>
            </w:r>
          </w:p>
        </w:tc>
        <w:tc>
          <w:tcPr>
            <w:tcW w:w="38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6EE" w:rsidRPr="00987D1A" w:rsidRDefault="002C66EE" w:rsidP="002C66EE">
            <w:pPr>
              <w:tabs>
                <w:tab w:val="left" w:pos="1248"/>
              </w:tabs>
              <w:spacing w:after="0" w:line="256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B5666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tkvk.gnum@gmail.com</w:t>
            </w:r>
          </w:p>
        </w:tc>
      </w:tr>
    </w:tbl>
    <w:p w:rsidR="002B5AA6" w:rsidRDefault="002B5AA6" w:rsidP="002B5AA6">
      <w:pPr>
        <w:tabs>
          <w:tab w:val="left" w:pos="1248"/>
        </w:tabs>
        <w:spacing w:after="0" w:line="256" w:lineRule="auto"/>
        <w:jc w:val="center"/>
        <w:rPr>
          <w:rFonts w:ascii="Sylfaen" w:eastAsia="Times New Roman" w:hAnsi="Sylfaen" w:cs="Times New Roman"/>
          <w:b/>
          <w:bCs/>
          <w:sz w:val="14"/>
          <w:szCs w:val="14"/>
          <w:lang w:val="en-US" w:eastAsia="ru-RU"/>
        </w:rPr>
      </w:pPr>
    </w:p>
    <w:p w:rsidR="00D67FB7" w:rsidRPr="002B5AA6" w:rsidRDefault="002B5AA6" w:rsidP="002B5AA6">
      <w:pPr>
        <w:tabs>
          <w:tab w:val="left" w:pos="1248"/>
        </w:tabs>
        <w:spacing w:after="0" w:line="256" w:lineRule="auto"/>
        <w:jc w:val="center"/>
        <w:rPr>
          <w:rFonts w:ascii="Sylfaen" w:eastAsia="Times New Roman" w:hAnsi="Sylfaen" w:cs="Times New Roman"/>
          <w:b/>
          <w:bCs/>
          <w:sz w:val="14"/>
          <w:szCs w:val="14"/>
          <w:lang w:val="en-US" w:eastAsia="ru-RU"/>
        </w:rPr>
      </w:pPr>
      <w:r>
        <w:rPr>
          <w:rFonts w:ascii="Sylfaen" w:eastAsia="Times New Roman" w:hAnsi="Sylfaen" w:cs="Times New Roman"/>
          <w:b/>
          <w:bCs/>
          <w:sz w:val="14"/>
          <w:szCs w:val="14"/>
          <w:lang w:val="en-US" w:eastAsia="ru-RU"/>
        </w:rPr>
        <w:t xml:space="preserve">Պատվիրատու՝ </w:t>
      </w:r>
      <w:r w:rsidRPr="002B5AA6">
        <w:rPr>
          <w:rFonts w:ascii="Sylfaen" w:eastAsia="Times New Roman" w:hAnsi="Sylfaen" w:cs="Times New Roman"/>
          <w:b/>
          <w:bCs/>
          <w:sz w:val="14"/>
          <w:szCs w:val="14"/>
          <w:lang w:val="en-US" w:eastAsia="ru-RU"/>
        </w:rPr>
        <w:t>«Թափառող կենդանիների վնասազերծման կենտրոն» ՀՈԱԿ</w:t>
      </w:r>
    </w:p>
    <w:p w:rsidR="002B5AA6" w:rsidRDefault="002B5AA6">
      <w:pPr>
        <w:rPr>
          <w:rFonts w:ascii="Sylfaen" w:eastAsia="Times New Roman" w:hAnsi="Sylfaen" w:cs="Times New Roman"/>
          <w:strike/>
          <w:sz w:val="20"/>
          <w:szCs w:val="20"/>
          <w:lang w:val="en-US" w:eastAsia="ru-RU"/>
        </w:rPr>
      </w:pPr>
      <w:r>
        <w:rPr>
          <w:rFonts w:ascii="Sylfaen" w:eastAsia="Times New Roman" w:hAnsi="Sylfaen" w:cs="Times New Roman"/>
          <w:strike/>
          <w:sz w:val="20"/>
          <w:szCs w:val="20"/>
          <w:lang w:val="en-US" w:eastAsia="ru-RU"/>
        </w:rPr>
        <w:br w:type="page"/>
      </w:r>
    </w:p>
    <w:p w:rsidR="00D67FB7" w:rsidRPr="00D67FB7" w:rsidRDefault="00D67FB7" w:rsidP="00D67FB7">
      <w:pPr>
        <w:spacing w:after="240" w:line="360" w:lineRule="auto"/>
        <w:jc w:val="both"/>
        <w:rPr>
          <w:rFonts w:ascii="Sylfaen" w:eastAsia="Times New Roman" w:hAnsi="Sylfaen" w:cs="Times New Roman"/>
          <w:strike/>
          <w:sz w:val="20"/>
          <w:szCs w:val="20"/>
          <w:lang w:val="en-US" w:eastAsia="ru-RU"/>
        </w:rPr>
      </w:pPr>
    </w:p>
    <w:p w:rsidR="00D67FB7" w:rsidRPr="004C71B8" w:rsidRDefault="00D67FB7" w:rsidP="00D67FB7">
      <w:pPr>
        <w:spacing w:before="360" w:line="360" w:lineRule="auto"/>
        <w:ind w:left="576" w:hanging="576"/>
        <w:jc w:val="center"/>
        <w:rPr>
          <w:rFonts w:ascii="Sylfaen" w:eastAsia="Calibri" w:hAnsi="Sylfaen" w:cs="Sylfaen"/>
          <w:b/>
          <w:szCs w:val="24"/>
        </w:rPr>
      </w:pPr>
      <w:r w:rsidRPr="004C71B8">
        <w:rPr>
          <w:rFonts w:ascii="Sylfaen" w:eastAsia="Calibri" w:hAnsi="Sylfaen" w:cs="Times New Roman"/>
          <w:b/>
          <w:szCs w:val="24"/>
        </w:rPr>
        <w:t>ОБЪЯВЛЕНИЕ</w:t>
      </w:r>
    </w:p>
    <w:p w:rsidR="00D67FB7" w:rsidRPr="004C71B8" w:rsidRDefault="00D67FB7" w:rsidP="00D67FB7">
      <w:pPr>
        <w:spacing w:before="360" w:line="360" w:lineRule="auto"/>
        <w:ind w:left="576" w:hanging="576"/>
        <w:jc w:val="center"/>
        <w:rPr>
          <w:rFonts w:ascii="Sylfaen" w:eastAsia="Calibri" w:hAnsi="Sylfaen" w:cs="Sylfaen"/>
          <w:b/>
          <w:szCs w:val="24"/>
        </w:rPr>
      </w:pPr>
      <w:r w:rsidRPr="00D67FB7">
        <w:rPr>
          <w:rFonts w:ascii="Sylfaen" w:eastAsia="Calibri" w:hAnsi="Sylfaen" w:cs="Times New Roman"/>
          <w:b/>
          <w:szCs w:val="24"/>
        </w:rPr>
        <w:t>о</w:t>
      </w:r>
      <w:r w:rsidRPr="004C71B8">
        <w:rPr>
          <w:rFonts w:ascii="Sylfaen" w:eastAsia="Calibri" w:hAnsi="Sylfaen" w:cs="Times New Roman"/>
          <w:b/>
          <w:szCs w:val="24"/>
        </w:rPr>
        <w:t xml:space="preserve"> </w:t>
      </w:r>
      <w:r w:rsidRPr="00D67FB7">
        <w:rPr>
          <w:rFonts w:ascii="Sylfaen" w:eastAsia="Calibri" w:hAnsi="Sylfaen" w:cs="Times New Roman"/>
          <w:b/>
          <w:szCs w:val="24"/>
        </w:rPr>
        <w:t>заключенном</w:t>
      </w:r>
      <w:r w:rsidRPr="004C71B8">
        <w:rPr>
          <w:rFonts w:ascii="Sylfaen" w:eastAsia="Calibri" w:hAnsi="Sylfaen" w:cs="Times New Roman"/>
          <w:b/>
          <w:szCs w:val="24"/>
        </w:rPr>
        <w:t xml:space="preserve"> </w:t>
      </w:r>
      <w:r w:rsidRPr="00D67FB7">
        <w:rPr>
          <w:rFonts w:ascii="Sylfaen" w:eastAsia="Calibri" w:hAnsi="Sylfaen" w:cs="Times New Roman"/>
          <w:b/>
          <w:szCs w:val="24"/>
        </w:rPr>
        <w:t>договоре</w:t>
      </w:r>
    </w:p>
    <w:p w:rsidR="006C1028" w:rsidRDefault="006C1028" w:rsidP="006C1028">
      <w:pPr>
        <w:tabs>
          <w:tab w:val="left" w:pos="6804"/>
        </w:tabs>
        <w:spacing w:after="0" w:line="240" w:lineRule="auto"/>
        <w:ind w:left="567" w:hanging="567"/>
        <w:jc w:val="both"/>
        <w:rPr>
          <w:rFonts w:ascii="Sylfaen" w:eastAsia="Calibri" w:hAnsi="Sylfaen" w:cs="Times New Roman"/>
          <w:sz w:val="20"/>
        </w:rPr>
      </w:pPr>
      <w:r w:rsidRPr="006638C7">
        <w:rPr>
          <w:rFonts w:ascii="Sylfaen" w:eastAsia="Calibri" w:hAnsi="Sylfaen" w:cs="Sylfaen"/>
          <w:sz w:val="20"/>
          <w:lang w:val="af-ZA"/>
        </w:rPr>
        <w:t>«Центр по обезвреживанию бродячих животных» ОНКО</w:t>
      </w:r>
      <w:r w:rsidRPr="006638C7">
        <w:rPr>
          <w:rFonts w:ascii="Sylfaen" w:eastAsia="Calibri" w:hAnsi="Sylfaen" w:cs="Times New Roman"/>
          <w:sz w:val="20"/>
        </w:rPr>
        <w:t xml:space="preserve"> ниже представляет информацию о договоре </w:t>
      </w:r>
    </w:p>
    <w:p w:rsidR="006C1028" w:rsidRDefault="006C1028" w:rsidP="006C1028">
      <w:pPr>
        <w:tabs>
          <w:tab w:val="left" w:pos="6804"/>
        </w:tabs>
        <w:spacing w:after="0" w:line="240" w:lineRule="auto"/>
        <w:ind w:left="567" w:hanging="567"/>
        <w:jc w:val="both"/>
        <w:rPr>
          <w:rFonts w:ascii="Sylfaen" w:eastAsia="Calibri" w:hAnsi="Sylfaen" w:cs="Times New Roman"/>
        </w:rPr>
      </w:pPr>
      <w:r w:rsidRPr="006638C7">
        <w:rPr>
          <w:rFonts w:ascii="Sylfaen" w:eastAsia="Calibri" w:hAnsi="Sylfaen" w:cs="Times New Roman"/>
          <w:sz w:val="20"/>
        </w:rPr>
        <w:t>№</w:t>
      </w:r>
      <w:r w:rsidRPr="006638C7">
        <w:rPr>
          <w:rFonts w:ascii="Sylfaen" w:eastAsia="Calibri" w:hAnsi="Sylfaen" w:cs="Times New Roman"/>
          <w:sz w:val="20"/>
          <w:lang w:val="af-ZA"/>
        </w:rPr>
        <w:t>ЦОБЖ-ГХ</w:t>
      </w:r>
      <w:r w:rsidRPr="006638C7">
        <w:rPr>
          <w:rFonts w:ascii="Sylfaen" w:eastAsia="Calibri" w:hAnsi="Sylfaen" w:cs="Times New Roman"/>
          <w:sz w:val="20"/>
        </w:rPr>
        <w:t>АПД</w:t>
      </w:r>
      <w:r w:rsidRPr="006638C7">
        <w:rPr>
          <w:rFonts w:ascii="Sylfaen" w:eastAsia="Calibri" w:hAnsi="Sylfaen" w:cs="Times New Roman"/>
          <w:sz w:val="20"/>
          <w:lang w:val="af-ZA"/>
        </w:rPr>
        <w:t>ЗБ-2023/</w:t>
      </w:r>
      <w:r>
        <w:rPr>
          <w:rFonts w:ascii="Sylfaen" w:eastAsia="Calibri" w:hAnsi="Sylfaen" w:cs="Times New Roman"/>
          <w:sz w:val="20"/>
          <w:lang w:val="af-ZA"/>
        </w:rPr>
        <w:t>18</w:t>
      </w:r>
      <w:r w:rsidRPr="006638C7">
        <w:rPr>
          <w:rFonts w:ascii="Sylfaen" w:eastAsia="Calibri" w:hAnsi="Sylfaen" w:cs="Times New Roman"/>
          <w:sz w:val="20"/>
        </w:rPr>
        <w:t xml:space="preserve">, заключенном </w:t>
      </w:r>
      <w:r w:rsidRPr="006638C7">
        <w:rPr>
          <w:rFonts w:ascii="Sylfaen" w:eastAsia="Calibri" w:hAnsi="Sylfaen" w:cs="Times New Roman"/>
          <w:sz w:val="12"/>
          <w:szCs w:val="12"/>
        </w:rPr>
        <w:t xml:space="preserve"> </w:t>
      </w:r>
      <w:r w:rsidRPr="006638C7">
        <w:rPr>
          <w:rFonts w:ascii="Sylfaen" w:eastAsia="Calibri" w:hAnsi="Sylfaen" w:cs="Times New Roman"/>
          <w:sz w:val="20"/>
        </w:rPr>
        <w:t xml:space="preserve">2023_года </w:t>
      </w:r>
      <w:r w:rsidRPr="006638C7">
        <w:rPr>
          <w:rFonts w:ascii="Sylfaen" w:eastAsia="Calibri" w:hAnsi="Sylfaen" w:cs="Times New Roman"/>
        </w:rPr>
        <w:t xml:space="preserve"> </w:t>
      </w:r>
      <w:r w:rsidRPr="006638C7">
        <w:rPr>
          <w:rFonts w:ascii="Sylfaen" w:eastAsia="Calibri" w:hAnsi="Sylfaen" w:cs="Times New Roman"/>
          <w:sz w:val="20"/>
        </w:rPr>
        <w:t>в результате процедуры закупки под кодом</w:t>
      </w:r>
      <w:r w:rsidRPr="006638C7">
        <w:rPr>
          <w:rFonts w:ascii="Sylfaen" w:eastAsia="Calibri" w:hAnsi="Sylfaen" w:cs="Times New Roman"/>
        </w:rPr>
        <w:t xml:space="preserve"> </w:t>
      </w:r>
    </w:p>
    <w:p w:rsidR="00D67FB7" w:rsidRPr="006C1028" w:rsidRDefault="006C1028" w:rsidP="006C1028">
      <w:pPr>
        <w:spacing w:after="0" w:line="360" w:lineRule="auto"/>
        <w:ind w:left="-709" w:firstLine="708"/>
        <w:jc w:val="both"/>
        <w:rPr>
          <w:rFonts w:ascii="Sylfaen" w:eastAsia="Calibri" w:hAnsi="Sylfaen" w:cs="Sylfaen"/>
          <w:sz w:val="20"/>
        </w:rPr>
      </w:pPr>
      <w:r w:rsidRPr="006638C7">
        <w:rPr>
          <w:rFonts w:ascii="Sylfaen" w:eastAsia="Calibri" w:hAnsi="Sylfaen" w:cs="Times New Roman"/>
          <w:lang w:val="af-ZA"/>
        </w:rPr>
        <w:t>ЦОБЖ-ГХ</w:t>
      </w:r>
      <w:r w:rsidRPr="006638C7">
        <w:rPr>
          <w:rFonts w:ascii="Sylfaen" w:eastAsia="Calibri" w:hAnsi="Sylfaen" w:cs="Times New Roman"/>
        </w:rPr>
        <w:t>АПД</w:t>
      </w:r>
      <w:r w:rsidRPr="006638C7">
        <w:rPr>
          <w:rFonts w:ascii="Sylfaen" w:eastAsia="Calibri" w:hAnsi="Sylfaen" w:cs="Times New Roman"/>
          <w:lang w:val="af-ZA"/>
        </w:rPr>
        <w:t>ЗБ-2023/</w:t>
      </w:r>
      <w:r>
        <w:rPr>
          <w:rFonts w:ascii="Sylfaen" w:eastAsia="Calibri" w:hAnsi="Sylfaen" w:cs="Times New Roman"/>
          <w:lang w:val="af-ZA"/>
        </w:rPr>
        <w:t>18</w:t>
      </w:r>
      <w:r w:rsidRPr="006638C7">
        <w:rPr>
          <w:rFonts w:ascii="Sylfaen" w:eastAsia="Calibri" w:hAnsi="Sylfaen" w:cs="Times New Roman"/>
        </w:rPr>
        <w:t>,</w:t>
      </w:r>
      <w:r w:rsidRPr="006638C7">
        <w:rPr>
          <w:rFonts w:ascii="Sylfaen" w:eastAsia="Calibri" w:hAnsi="Sylfaen" w:cs="Times New Roman"/>
          <w:sz w:val="20"/>
        </w:rPr>
        <w:t xml:space="preserve"> организованной с целью приобретения </w:t>
      </w:r>
      <w:r w:rsidRPr="006C1028">
        <w:rPr>
          <w:rFonts w:ascii="Sylfaen" w:eastAsia="Calibri" w:hAnsi="Sylfaen" w:cs="Times New Roman"/>
          <w:sz w:val="20"/>
        </w:rPr>
        <w:t>ветеринарных</w:t>
      </w:r>
      <w:r w:rsidRPr="006638C7">
        <w:rPr>
          <w:rFonts w:ascii="Sylfaen" w:eastAsia="Calibri" w:hAnsi="Sylfaen" w:cs="Times New Roman"/>
          <w:lang w:val="af-ZA"/>
        </w:rPr>
        <w:t xml:space="preserve"> препаратов</w:t>
      </w:r>
      <w:r w:rsidRPr="006638C7">
        <w:rPr>
          <w:rFonts w:ascii="Sylfaen" w:eastAsia="Calibri" w:hAnsi="Sylfaen" w:cs="Times New Roman"/>
        </w:rPr>
        <w:t xml:space="preserve"> </w:t>
      </w:r>
      <w:r w:rsidRPr="006638C7">
        <w:rPr>
          <w:rFonts w:ascii="Sylfaen" w:eastAsia="Calibri" w:hAnsi="Sylfaen" w:cs="Times New Roman"/>
          <w:sz w:val="20"/>
        </w:rPr>
        <w:t xml:space="preserve"> для своих нужд</w:t>
      </w:r>
    </w:p>
    <w:tbl>
      <w:tblPr>
        <w:tblW w:w="111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425"/>
        <w:gridCol w:w="590"/>
        <w:gridCol w:w="567"/>
        <w:gridCol w:w="119"/>
        <w:gridCol w:w="267"/>
        <w:gridCol w:w="20"/>
        <w:gridCol w:w="19"/>
        <w:gridCol w:w="158"/>
        <w:gridCol w:w="409"/>
        <w:gridCol w:w="336"/>
        <w:gridCol w:w="515"/>
        <w:gridCol w:w="24"/>
        <w:gridCol w:w="256"/>
        <w:gridCol w:w="49"/>
        <w:gridCol w:w="379"/>
        <w:gridCol w:w="402"/>
        <w:gridCol w:w="1041"/>
        <w:gridCol w:w="584"/>
        <w:gridCol w:w="31"/>
        <w:gridCol w:w="46"/>
        <w:gridCol w:w="127"/>
        <w:gridCol w:w="298"/>
        <w:gridCol w:w="41"/>
        <w:gridCol w:w="549"/>
        <w:gridCol w:w="224"/>
        <w:gridCol w:w="179"/>
        <w:gridCol w:w="660"/>
        <w:gridCol w:w="217"/>
        <w:gridCol w:w="424"/>
        <w:gridCol w:w="1108"/>
        <w:gridCol w:w="615"/>
        <w:gridCol w:w="12"/>
      </w:tblGrid>
      <w:tr w:rsidR="00D67FB7" w:rsidRPr="00D67FB7" w:rsidTr="00B627EC">
        <w:trPr>
          <w:gridAfter w:val="1"/>
          <w:wAfter w:w="12" w:type="dxa"/>
          <w:trHeight w:val="146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D67FB7" w:rsidRPr="006C1028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0679" w:type="dxa"/>
            <w:gridSpan w:val="31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Предмет закупки</w:t>
            </w:r>
          </w:p>
        </w:tc>
      </w:tr>
      <w:tr w:rsidR="00D67FB7" w:rsidRPr="00D67FB7" w:rsidTr="00B627EC">
        <w:trPr>
          <w:gridAfter w:val="1"/>
          <w:wAfter w:w="12" w:type="dxa"/>
          <w:trHeight w:val="11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  <w:vAlign w:val="center"/>
          </w:tcPr>
          <w:p w:rsidR="00D67FB7" w:rsidRPr="00D67FB7" w:rsidRDefault="00D67FB7" w:rsidP="00060AA5">
            <w:pPr>
              <w:widowControl w:val="0"/>
              <w:spacing w:after="0" w:line="240" w:lineRule="auto"/>
              <w:ind w:left="317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ед</w:t>
            </w:r>
            <w:r w:rsidR="00CB13DB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.</w:t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иния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количество </w:t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en-US"/>
              </w:rPr>
              <w:footnoteReference w:id="9"/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сметная цена </w:t>
            </w:r>
          </w:p>
        </w:tc>
        <w:tc>
          <w:tcPr>
            <w:tcW w:w="3119" w:type="dxa"/>
            <w:gridSpan w:val="9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краткое описание (техническая характеристика)</w:t>
            </w:r>
          </w:p>
        </w:tc>
        <w:tc>
          <w:tcPr>
            <w:tcW w:w="3427" w:type="dxa"/>
            <w:gridSpan w:val="7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7FB7" w:rsidRPr="00D67FB7" w:rsidTr="00B627EC">
        <w:trPr>
          <w:gridAfter w:val="1"/>
          <w:wAfter w:w="12" w:type="dxa"/>
          <w:trHeight w:val="175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-80"/>
              <w:jc w:val="both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поимеющимся финансовым средствам</w:t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67FB7" w:rsidRPr="00D67FB7" w:rsidRDefault="00D67FB7" w:rsidP="00060AA5">
            <w:pPr>
              <w:widowControl w:val="0"/>
              <w:spacing w:after="0" w:line="240" w:lineRule="auto"/>
              <w:ind w:left="-107" w:right="-108" w:hanging="284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общее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/драмов РА/</w:t>
            </w:r>
          </w:p>
        </w:tc>
        <w:tc>
          <w:tcPr>
            <w:tcW w:w="3119" w:type="dxa"/>
            <w:gridSpan w:val="9"/>
            <w:vMerge/>
            <w:shd w:val="clear" w:color="auto" w:fill="auto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427" w:type="dxa"/>
            <w:gridSpan w:val="7"/>
            <w:vMerge/>
            <w:shd w:val="clear" w:color="auto" w:fill="auto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275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по имеющимся финансовым средствам</w:t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en-US"/>
              </w:rPr>
              <w:footnoteReference w:id="11"/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общая</w:t>
            </w:r>
          </w:p>
        </w:tc>
        <w:tc>
          <w:tcPr>
            <w:tcW w:w="31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4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60AA5" w:rsidRPr="00CB13DB" w:rsidTr="00B627EC">
        <w:trPr>
          <w:gridAfter w:val="1"/>
          <w:wAfter w:w="12" w:type="dxa"/>
          <w:trHeight w:val="40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060AA5" w:rsidRPr="00D67FB7" w:rsidRDefault="00060AA5" w:rsidP="00060AA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антибактериальные средства для периодического применения /пенистреп/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AA5" w:rsidRPr="00CB13DB" w:rsidRDefault="00060AA5" w:rsidP="00060AA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90000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90000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Международные непатентованные или химические названия.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Пенициллин, стрептомицин. Комбинированный антибактериальный препарат широкого спектра действия. Активен в отношении грамположительных и грамотрицательных бактерий и некоторых штаммов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Actinomyces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. Медленно всасывается и оказывает длительное действие при внутримышечном введении. Фармакотерапевтическая группа Антибиотики, Комбинированные антибактериальные препараты. Молочная эмульсия в стеклянной бутылке 100 мл. 1 мл содержит прокаина пенициллина Г 100000 МЕ, бензатина пенициллина Г 100000 МЕ, дигидрострептомицина сульфата 200 мг, наполнителя и дополнительных веществ до 1 мл.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Международные непатентованные или химические названия.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Пенициллин, стрептомицин. Комбинированный антибактериальный препарат широкого спектра действия. Активен в отношении грамположительных и грамотрицательных бактерий и некоторых штаммов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Actinomyces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. Медленно всасывается и оказывает длительное действие при внутримышечном введении. Фармакотерапевтическая группа Антибиотики, Комбинированные антибактериальные препараты. Молочная эмульсия в стеклянной бутылке 100 мл. 1 мл содержит прокаина пенициллина Г 100000 МЕ, бензатина пенициллина Г 100000 МЕ, дигидрострептомицина сульфата 200 мг, наполнителя и дополнительных веществ до 1 мл.</w:t>
            </w:r>
          </w:p>
        </w:tc>
      </w:tr>
      <w:tr w:rsidR="00060AA5" w:rsidRPr="00CB13DB" w:rsidTr="00B627EC">
        <w:trPr>
          <w:gridAfter w:val="1"/>
          <w:wAfter w:w="12" w:type="dxa"/>
          <w:trHeight w:val="182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AA5" w:rsidRPr="00D67FB7" w:rsidRDefault="00060AA5" w:rsidP="00060AA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CB13DB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015" w:type="dxa"/>
            <w:gridSpan w:val="2"/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антибактериальные средства для периодического применения /спрей наружный/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AA5" w:rsidRPr="00CB13DB" w:rsidRDefault="00060AA5" w:rsidP="00060AA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11000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11000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С распылителем герметичный алюминиевый баллончик емкостью 200 мл,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представляет собой ярко выраженный антибактериальный и противовоспалительный спрей. 1 мл содержит хлортетрациклина гидрохлорида 20 мг и генцианвиолета 5 мг, дополнительные вещества. изопропилиденглицерин, полисорбат 80, изопропиленовый спирт, пропеллент пропел-45 Активен в отношении грамположительных и грамотрицательных бактерий, в т.ч.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Streptococcus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.,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Haemophilus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.,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Klebsiella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.,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Clostridium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. Против. Механизм действия хлортетрациклина гидрохлорида основан на подавлении синтеза белка микробной клетки (блокировка функции рибосомы) и блокировании синтеза РНК. Генцианвиолет — антисептическое средство с противомикробным и противогрибковым действием, активен в отношении некоторых грамотрицательных бактерий.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С распылителем герметичный алюминиевый баллончик емкостью 200 мл,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представляет собой ярко выраженный антибактериальный и противовоспалительный спрей. 1 мл содержит хлортетрациклина гидрохлорида 20 мг и генцианвиолета 5 мг, дополнительные вещества. изопропилиденглицерин, полисорбат 80, изопропиленовый спирт, пропеллент пропел-45 Активен в отношении грамположительных и грамотрицательных бактерий, в т.ч.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Streptococcus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.,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Haemophilus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.,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Klebsiella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.,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Clostridium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spp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. Против. Механизм действия хлортетрациклина гидрохлорида основан на подавлении синтеза белка микробной клетки (блокировка функции рибосомы) и блокировании синтеза РНК. Генцианвиолет — антисептическое средство с противомикробным и противогрибковым действием, активен в отношении некоторых грамотрицательных бактерий.</w:t>
            </w:r>
          </w:p>
        </w:tc>
      </w:tr>
      <w:tr w:rsidR="00060AA5" w:rsidRPr="00060AA5" w:rsidTr="00B627EC">
        <w:trPr>
          <w:gridAfter w:val="1"/>
          <w:wAfter w:w="12" w:type="dxa"/>
          <w:trHeight w:val="182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AA5" w:rsidRPr="00D67FB7" w:rsidRDefault="00060AA5" w:rsidP="00060AA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15" w:type="dxa"/>
            <w:gridSpan w:val="2"/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вакцина против бешенства j07bg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AA5" w:rsidRPr="00D67FB7" w:rsidRDefault="00060AA5" w:rsidP="00060AA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2000000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2000000</w:t>
            </w:r>
          </w:p>
        </w:tc>
        <w:tc>
          <w:tcPr>
            <w:tcW w:w="3119" w:type="dxa"/>
            <w:gridSpan w:val="9"/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Вакцина для профилактики бешенства.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Лекарственная форма: розовая или желто-коричневая суспензия для инъекций.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Подготовлено 2.0 М.Е. из инактивированного штамма вируса бешенства (штамм «Пастер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RIV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»), в качестве адъюванта с добавлением гидроксида алюминия, в качестве консерванта с добавлением гентамицина и/или мертиолата. Каждая доза составляет 1 мл в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lastRenderedPageBreak/>
              <w:t>индивидуальных флаконах по 1 мл.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Срок годности не менее 18 месяцев со дня покупки.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Необходимость ревакцинации не ранее чем через год после первой прививки в неблагополучных по бешенству районах, через три года в благополучных по бешенству районах.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Поставщик обязан обеспечить тепловой режим хранения вакцины до поставки потребителю.</w:t>
            </w:r>
          </w:p>
        </w:tc>
        <w:tc>
          <w:tcPr>
            <w:tcW w:w="3427" w:type="dxa"/>
            <w:gridSpan w:val="7"/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lastRenderedPageBreak/>
              <w:t>Вакцина для профилактики бешенства.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Лекарственная форма: розовая или желто-коричневая суспензия для инъекций.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Подготовлено 2.0 М.Е. из инактивированного штамма вируса бешенства (штамм «Пастер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RIV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 xml:space="preserve">»), в качестве адъюванта с добавлением гидроксида алюминия, в качестве консерванта с добавлением гентамицина и/или мертиолата. Каждая доза составляет 1 мл в индивидуальных флаконах по 1 </w:t>
            </w: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lastRenderedPageBreak/>
              <w:t>мл.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Срок годности не менее 18 месяцев со дня покупки.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Необходимость ревакцинации не ранее чем через год после первой прививки в неблагополучных по бешенству районах, через три года в благополучных по бешенству районах.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Поставщик обязан обеспечить тепловой режим хранения вакцины до поставки потребителю.</w:t>
            </w:r>
          </w:p>
        </w:tc>
      </w:tr>
      <w:tr w:rsidR="00060AA5" w:rsidRPr="00060AA5" w:rsidTr="00B627EC">
        <w:trPr>
          <w:gridAfter w:val="1"/>
          <w:wAfter w:w="12" w:type="dxa"/>
          <w:trHeight w:val="182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AA5" w:rsidRPr="00D67FB7" w:rsidRDefault="00060AA5" w:rsidP="00060AA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015" w:type="dxa"/>
            <w:gridSpan w:val="2"/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gramStart"/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др</w:t>
            </w:r>
            <w:proofErr w:type="gramEnd"/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. медикаменты (ксилазин)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AA5" w:rsidRPr="00060AA5" w:rsidRDefault="00060AA5" w:rsidP="00060AA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шт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280000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280000</w:t>
            </w:r>
          </w:p>
        </w:tc>
        <w:tc>
          <w:tcPr>
            <w:tcW w:w="3119" w:type="dxa"/>
            <w:gridSpan w:val="9"/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2% раствор Стерильный раствор для инъекций для ветеринарного применения. Международное непатентованное название – гидрохлорид ксилазина. Синонимы: Ксиланит, Ксила, Рометар, Седазин и др. Фармакотерапевтическая группа: неселективный агонист α2-адренорецепторов, седативные препараты группы производных тиазина.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Состав в 1 мл раствора: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Ксилазин гидрохлорид .......... 20 мг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Наполнитель ................................... до 1 мл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Описание: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Это прозрачный бесцветный раствор. Хранилище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Хранить в сухом, защищенном от света месте при температуре 15 - 25°С.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Упаковка - прозрачная стеклянная бутылка 50 мл с резиновой крышкой.</w:t>
            </w:r>
          </w:p>
        </w:tc>
        <w:tc>
          <w:tcPr>
            <w:tcW w:w="3427" w:type="dxa"/>
            <w:gridSpan w:val="7"/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2% раствор Стерильный раствор для инъекций для ветеринарного применения. Международное непатентованное название – гидрохлорид ксилазина. Синонимы: Ксиланит, Ксила, Рометар, Седазин и др. Фармакотерапевтическая группа: неселективный агонист α2-адренорецепторов, седативные препараты группы производных тиазина.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Состав в 1 мл раствора: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Ксилазин гидрохлорид .......... 20 мг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Наполнитель ................................... до 1 мл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Описание: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Это прозрачный бесцветный раствор. Хранилище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Хранить в сухом, защищенном от света месте при температуре 15 - 25°С.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Упаковка - прозрачная стеклянная бутылка 50 мл с резиновой крышкой.</w:t>
            </w:r>
          </w:p>
        </w:tc>
      </w:tr>
      <w:tr w:rsidR="00060AA5" w:rsidRPr="00060AA5" w:rsidTr="00B627EC">
        <w:trPr>
          <w:gridAfter w:val="1"/>
          <w:wAfter w:w="12" w:type="dxa"/>
          <w:trHeight w:val="182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AA5" w:rsidRPr="00D67FB7" w:rsidRDefault="00060AA5" w:rsidP="00060AA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15" w:type="dxa"/>
            <w:gridSpan w:val="2"/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Интермектин/ивермектин QP54AA01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0AA5" w:rsidRPr="00060AA5" w:rsidRDefault="00060AA5" w:rsidP="00060AA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шт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0AA5" w:rsidRPr="009F0254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9F0254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75000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AA5" w:rsidRPr="00D67FB7" w:rsidRDefault="00060AA5" w:rsidP="00060AA5">
            <w:pPr>
              <w:jc w:val="center"/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</w:pPr>
            <w:r w:rsidRPr="00D67FB7">
              <w:rPr>
                <w:rFonts w:ascii="Sylfaen" w:eastAsia="Times New Roman" w:hAnsi="Sylfaen" w:cs="Sylfaen"/>
                <w:sz w:val="12"/>
                <w:szCs w:val="12"/>
                <w:lang w:val="en-US" w:eastAsia="ru-RU"/>
              </w:rPr>
              <w:t>75000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Торговое название Ивермектин (Ivermectin)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Международное название Ивермектин (Ivermectin)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Лекарственная форма. раствор для инъекций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Состав: 1 мл содержит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Ивермектин 10 мг.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Описание: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Противопаразитарное средство против наружных и внутренних паразитов собак.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Дозировка и форма выпуска (упаковка). Стерильный раствор по 10 мг/мл во флаконах из коричневого стекла по 100 мл.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Хранение и транспортировка осуществляются в соответствии с инструкциями на внешней упаковке или листке-вкладыше.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Наличие не менее 2/3 срока годности на момент поставки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</w:p>
        </w:tc>
        <w:tc>
          <w:tcPr>
            <w:tcW w:w="3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Торговое название Ивермектин (Ivermectin)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Международное название Ивермектин (Ivermectin)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Лекарственная форма. раствор для инъекций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Состав: 1 мл содержит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Ивермектин 10 мг.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Описание: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Противопаразитарное средство против наружных и внутренних паразитов собак.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Дозировка и форма выпуска (упаковка). Стерильный раствор по 10 мг/мл во флаконах из коричневого стекла по 100 мл.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Хранение и транспортировка осуществляются в соответствии с инструкциями на внешней упаковке или листке-вкладыше.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060AA5">
              <w:rPr>
                <w:rFonts w:ascii="Sylfaen" w:eastAsia="Calibri" w:hAnsi="Sylfaen" w:cs="Times New Roman"/>
                <w:sz w:val="14"/>
                <w:szCs w:val="14"/>
              </w:rPr>
              <w:t>Наличие не менее 2/3 срока годности на момент поставки</w:t>
            </w:r>
          </w:p>
          <w:p w:rsidR="00060AA5" w:rsidRPr="00060AA5" w:rsidRDefault="00060AA5" w:rsidP="00060AA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</w:p>
        </w:tc>
      </w:tr>
      <w:tr w:rsidR="00D67FB7" w:rsidRPr="00060AA5" w:rsidTr="00B627EC">
        <w:trPr>
          <w:gridAfter w:val="1"/>
          <w:wAfter w:w="12" w:type="dxa"/>
          <w:trHeight w:val="169"/>
          <w:jc w:val="center"/>
        </w:trPr>
        <w:tc>
          <w:tcPr>
            <w:tcW w:w="11095" w:type="dxa"/>
            <w:gridSpan w:val="32"/>
            <w:shd w:val="clear" w:color="auto" w:fill="99CCFF"/>
            <w:vAlign w:val="center"/>
          </w:tcPr>
          <w:p w:rsidR="00D67FB7" w:rsidRPr="00060AA5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137"/>
          <w:jc w:val="center"/>
        </w:trPr>
        <w:tc>
          <w:tcPr>
            <w:tcW w:w="41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114292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0B5666">
              <w:rPr>
                <w:rFonts w:ascii="Sylfaen" w:eastAsia="Calibri" w:hAnsi="Sylfaen" w:cs="Times New Roman"/>
                <w:b/>
                <w:sz w:val="14"/>
                <w:szCs w:val="14"/>
              </w:rPr>
              <w:t>Процедура применена на основании части 1 статьи 22 Закона о закупках РА</w:t>
            </w:r>
          </w:p>
        </w:tc>
      </w:tr>
      <w:tr w:rsidR="00D67FB7" w:rsidRPr="00D67FB7" w:rsidTr="00B62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</w:tr>
      <w:tr w:rsidR="00D67FB7" w:rsidRPr="00D67FB7" w:rsidTr="00B62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8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7FB7" w:rsidRPr="00114292" w:rsidRDefault="00114292" w:rsidP="00114292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15.05.2023г</w:t>
            </w:r>
          </w:p>
        </w:tc>
      </w:tr>
      <w:tr w:rsidR="00D67FB7" w:rsidRPr="00D67FB7" w:rsidTr="00B62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384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изменений, внесенных в приглашение</w:t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en-US"/>
              </w:rPr>
              <w:footnoteReference w:id="12"/>
            </w:r>
          </w:p>
        </w:tc>
        <w:tc>
          <w:tcPr>
            <w:tcW w:w="29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114292" w:rsidP="00114292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67FB7" w:rsidRPr="00D67FB7" w:rsidTr="00B62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384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</w:tr>
      <w:tr w:rsidR="00D67FB7" w:rsidRPr="00D67FB7" w:rsidTr="00B62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384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Дата разъяснений относительно приглашения</w:t>
            </w:r>
          </w:p>
        </w:tc>
        <w:tc>
          <w:tcPr>
            <w:tcW w:w="29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5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Получения запроса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Разъяснения</w:t>
            </w:r>
          </w:p>
        </w:tc>
      </w:tr>
      <w:tr w:rsidR="00D67FB7" w:rsidRPr="00D67FB7" w:rsidTr="00B62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384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29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5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114292" w:rsidP="00114292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114292" w:rsidP="00114292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67FB7" w:rsidRPr="00D67FB7" w:rsidTr="00B62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384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9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25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54"/>
          <w:jc w:val="center"/>
        </w:trPr>
        <w:tc>
          <w:tcPr>
            <w:tcW w:w="11095" w:type="dxa"/>
            <w:gridSpan w:val="32"/>
            <w:shd w:val="clear" w:color="auto" w:fill="99CCFF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419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П/Н</w:t>
            </w:r>
          </w:p>
        </w:tc>
        <w:tc>
          <w:tcPr>
            <w:tcW w:w="2485" w:type="dxa"/>
            <w:gridSpan w:val="9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en-US"/>
              </w:rPr>
              <w:footnoteReference w:id="13"/>
            </w:r>
          </w:p>
        </w:tc>
      </w:tr>
      <w:tr w:rsidR="00D67FB7" w:rsidRPr="00D67FB7" w:rsidTr="00B627EC">
        <w:trPr>
          <w:gridAfter w:val="1"/>
          <w:wAfter w:w="12" w:type="dxa"/>
          <w:trHeight w:val="392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485" w:type="dxa"/>
            <w:gridSpan w:val="9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Всего</w:t>
            </w:r>
          </w:p>
        </w:tc>
      </w:tr>
      <w:tr w:rsidR="00D67FB7" w:rsidRPr="00D67FB7" w:rsidTr="00B627EC">
        <w:trPr>
          <w:gridAfter w:val="1"/>
          <w:wAfter w:w="12" w:type="dxa"/>
          <w:trHeight w:val="83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Лот 1</w:t>
            </w:r>
          </w:p>
        </w:tc>
        <w:tc>
          <w:tcPr>
            <w:tcW w:w="10254" w:type="dxa"/>
            <w:gridSpan w:val="30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706771" w:rsidRPr="00D67FB7" w:rsidTr="00B627EC">
        <w:trPr>
          <w:gridAfter w:val="1"/>
          <w:wAfter w:w="12" w:type="dxa"/>
          <w:trHeight w:val="83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85" w:type="dxa"/>
            <w:gridSpan w:val="9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4D74F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ИП Сатеник Григорян Оганесовна</w:t>
            </w:r>
          </w:p>
        </w:tc>
        <w:tc>
          <w:tcPr>
            <w:tcW w:w="3250" w:type="dxa"/>
            <w:gridSpan w:val="8"/>
            <w:vAlign w:val="center"/>
          </w:tcPr>
          <w:p w:rsidR="00706771" w:rsidRPr="002073DA" w:rsidRDefault="00706771" w:rsidP="007067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63750 </w:t>
            </w:r>
          </w:p>
        </w:tc>
        <w:tc>
          <w:tcPr>
            <w:tcW w:w="2155" w:type="dxa"/>
            <w:gridSpan w:val="9"/>
            <w:vAlign w:val="center"/>
          </w:tcPr>
          <w:p w:rsidR="00706771" w:rsidRPr="002073DA" w:rsidRDefault="00706771" w:rsidP="007067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12750</w:t>
            </w:r>
          </w:p>
        </w:tc>
        <w:tc>
          <w:tcPr>
            <w:tcW w:w="2364" w:type="dxa"/>
            <w:gridSpan w:val="4"/>
            <w:vAlign w:val="center"/>
          </w:tcPr>
          <w:p w:rsidR="00706771" w:rsidRPr="002073DA" w:rsidRDefault="00706771" w:rsidP="0070677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76500</w:t>
            </w:r>
          </w:p>
        </w:tc>
      </w:tr>
      <w:tr w:rsidR="00114292" w:rsidRPr="00D67FB7" w:rsidTr="00B627EC">
        <w:trPr>
          <w:gridAfter w:val="1"/>
          <w:wAfter w:w="12" w:type="dxa"/>
          <w:trHeight w:val="83"/>
          <w:jc w:val="center"/>
        </w:trPr>
        <w:tc>
          <w:tcPr>
            <w:tcW w:w="11095" w:type="dxa"/>
            <w:gridSpan w:val="32"/>
            <w:shd w:val="clear" w:color="auto" w:fill="auto"/>
            <w:vAlign w:val="center"/>
          </w:tcPr>
          <w:p w:rsidR="00114292" w:rsidRPr="00D67FB7" w:rsidRDefault="00114292" w:rsidP="00114292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Лот 2</w:t>
            </w:r>
          </w:p>
        </w:tc>
      </w:tr>
      <w:tr w:rsidR="00706771" w:rsidRPr="00D67FB7" w:rsidTr="00B627EC">
        <w:trPr>
          <w:gridAfter w:val="1"/>
          <w:wAfter w:w="12" w:type="dxa"/>
          <w:trHeight w:val="83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85" w:type="dxa"/>
            <w:gridSpan w:val="9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4D74F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ИП Сатеник Григорян Оганесовна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9000</w:t>
            </w:r>
          </w:p>
        </w:tc>
      </w:tr>
      <w:tr w:rsidR="00114292" w:rsidRPr="00D67FB7" w:rsidTr="00B627EC">
        <w:trPr>
          <w:gridAfter w:val="1"/>
          <w:wAfter w:w="12" w:type="dxa"/>
          <w:trHeight w:val="83"/>
          <w:jc w:val="center"/>
        </w:trPr>
        <w:tc>
          <w:tcPr>
            <w:tcW w:w="11095" w:type="dxa"/>
            <w:gridSpan w:val="32"/>
            <w:shd w:val="clear" w:color="auto" w:fill="auto"/>
            <w:vAlign w:val="center"/>
          </w:tcPr>
          <w:p w:rsidR="00114292" w:rsidRPr="00D67FB7" w:rsidRDefault="00114292" w:rsidP="00114292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Лот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3</w:t>
            </w:r>
          </w:p>
        </w:tc>
      </w:tr>
      <w:tr w:rsidR="00706771" w:rsidRPr="00D67FB7" w:rsidTr="00B627EC">
        <w:trPr>
          <w:gridAfter w:val="1"/>
          <w:wAfter w:w="12" w:type="dxa"/>
          <w:trHeight w:val="83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85" w:type="dxa"/>
            <w:gridSpan w:val="9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4D74F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ИП Сатеник Григорян Оганесовна</w:t>
            </w:r>
          </w:p>
        </w:tc>
        <w:tc>
          <w:tcPr>
            <w:tcW w:w="3250" w:type="dxa"/>
            <w:gridSpan w:val="8"/>
            <w:vAlign w:val="center"/>
          </w:tcPr>
          <w:p w:rsidR="00706771" w:rsidRPr="002073DA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1666667</w:t>
            </w:r>
          </w:p>
        </w:tc>
        <w:tc>
          <w:tcPr>
            <w:tcW w:w="2155" w:type="dxa"/>
            <w:gridSpan w:val="9"/>
            <w:vAlign w:val="center"/>
          </w:tcPr>
          <w:p w:rsidR="00706771" w:rsidRPr="002073DA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333333</w:t>
            </w:r>
          </w:p>
        </w:tc>
        <w:tc>
          <w:tcPr>
            <w:tcW w:w="2364" w:type="dxa"/>
            <w:gridSpan w:val="4"/>
            <w:vAlign w:val="center"/>
          </w:tcPr>
          <w:p w:rsidR="00706771" w:rsidRPr="002073DA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2000000</w:t>
            </w:r>
          </w:p>
        </w:tc>
      </w:tr>
      <w:tr w:rsidR="00114292" w:rsidRPr="00D67FB7" w:rsidTr="00B627EC">
        <w:trPr>
          <w:gridAfter w:val="1"/>
          <w:wAfter w:w="12" w:type="dxa"/>
          <w:trHeight w:val="83"/>
          <w:jc w:val="center"/>
        </w:trPr>
        <w:tc>
          <w:tcPr>
            <w:tcW w:w="11095" w:type="dxa"/>
            <w:gridSpan w:val="32"/>
            <w:shd w:val="clear" w:color="auto" w:fill="auto"/>
            <w:vAlign w:val="center"/>
          </w:tcPr>
          <w:p w:rsidR="00114292" w:rsidRPr="00D67FB7" w:rsidRDefault="00114292" w:rsidP="00114292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Лот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4</w:t>
            </w:r>
          </w:p>
        </w:tc>
      </w:tr>
      <w:tr w:rsidR="00706771" w:rsidRPr="00D67FB7" w:rsidTr="00B627EC">
        <w:trPr>
          <w:gridAfter w:val="1"/>
          <w:wAfter w:w="12" w:type="dxa"/>
          <w:trHeight w:val="83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85" w:type="dxa"/>
            <w:gridSpan w:val="9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4D74F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ИП Сатеник Григорян Оганесовна</w:t>
            </w:r>
          </w:p>
        </w:tc>
        <w:tc>
          <w:tcPr>
            <w:tcW w:w="3250" w:type="dxa"/>
            <w:gridSpan w:val="8"/>
            <w:vAlign w:val="center"/>
          </w:tcPr>
          <w:p w:rsidR="00706771" w:rsidRPr="002073DA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233333</w:t>
            </w:r>
          </w:p>
        </w:tc>
        <w:tc>
          <w:tcPr>
            <w:tcW w:w="2155" w:type="dxa"/>
            <w:gridSpan w:val="9"/>
            <w:vAlign w:val="center"/>
          </w:tcPr>
          <w:p w:rsidR="00706771" w:rsidRPr="002073DA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46667</w:t>
            </w:r>
          </w:p>
        </w:tc>
        <w:tc>
          <w:tcPr>
            <w:tcW w:w="2364" w:type="dxa"/>
            <w:gridSpan w:val="4"/>
            <w:vAlign w:val="center"/>
          </w:tcPr>
          <w:p w:rsidR="00706771" w:rsidRPr="002073DA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2073D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280000</w:t>
            </w:r>
          </w:p>
        </w:tc>
      </w:tr>
      <w:tr w:rsidR="00D67FB7" w:rsidRPr="00D67FB7" w:rsidTr="00B627EC">
        <w:trPr>
          <w:gridAfter w:val="1"/>
          <w:wAfter w:w="12" w:type="dxa"/>
          <w:jc w:val="center"/>
        </w:trPr>
        <w:tc>
          <w:tcPr>
            <w:tcW w:w="11095" w:type="dxa"/>
            <w:gridSpan w:val="32"/>
            <w:shd w:val="clear" w:color="auto" w:fill="auto"/>
            <w:vAlign w:val="center"/>
          </w:tcPr>
          <w:p w:rsidR="00D67FB7" w:rsidRPr="00D67FB7" w:rsidRDefault="00114292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Лот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5</w:t>
            </w:r>
          </w:p>
        </w:tc>
      </w:tr>
      <w:tr w:rsidR="00706771" w:rsidRPr="00D67FB7" w:rsidTr="00B627EC">
        <w:trPr>
          <w:gridAfter w:val="1"/>
          <w:wAfter w:w="12" w:type="dxa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85" w:type="dxa"/>
            <w:gridSpan w:val="9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4D74F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ИП Сатеник Григорян Оганесовна</w:t>
            </w:r>
          </w:p>
        </w:tc>
        <w:tc>
          <w:tcPr>
            <w:tcW w:w="3281" w:type="dxa"/>
            <w:gridSpan w:val="9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57500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11500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706771" w:rsidRPr="00D67FB7" w:rsidRDefault="00706771" w:rsidP="007067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69000</w:t>
            </w:r>
          </w:p>
        </w:tc>
      </w:tr>
      <w:tr w:rsidR="00D67FB7" w:rsidRPr="00D67FB7" w:rsidTr="00B627EC">
        <w:trPr>
          <w:gridAfter w:val="1"/>
          <w:wAfter w:w="12" w:type="dxa"/>
          <w:trHeight w:val="288"/>
          <w:jc w:val="center"/>
        </w:trPr>
        <w:tc>
          <w:tcPr>
            <w:tcW w:w="11095" w:type="dxa"/>
            <w:gridSpan w:val="32"/>
            <w:shd w:val="clear" w:color="auto" w:fill="99CCFF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67FB7" w:rsidRPr="00D67FB7" w:rsidTr="00B627EC">
        <w:trPr>
          <w:gridAfter w:val="1"/>
          <w:wAfter w:w="12" w:type="dxa"/>
          <w:jc w:val="center"/>
        </w:trPr>
        <w:tc>
          <w:tcPr>
            <w:tcW w:w="110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Данные об отклоненных заявках</w:t>
            </w:r>
          </w:p>
        </w:tc>
      </w:tr>
      <w:tr w:rsidR="00D67FB7" w:rsidRPr="00D67FB7" w:rsidTr="00B627EC">
        <w:trPr>
          <w:gridAfter w:val="1"/>
          <w:wAfter w:w="12" w:type="dxa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D67FB7" w:rsidRPr="00D67FB7" w:rsidRDefault="00D67FB7" w:rsidP="006C1028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lastRenderedPageBreak/>
              <w:t>Номер лота</w:t>
            </w:r>
          </w:p>
        </w:tc>
        <w:tc>
          <w:tcPr>
            <w:tcW w:w="1543" w:type="dxa"/>
            <w:gridSpan w:val="4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D67FB7" w:rsidRPr="00D67FB7" w:rsidRDefault="00D67FB7" w:rsidP="006C1028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lastRenderedPageBreak/>
              <w:t>Наименование участника</w:t>
            </w:r>
          </w:p>
        </w:tc>
        <w:tc>
          <w:tcPr>
            <w:tcW w:w="871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D67FB7" w:rsidRPr="00D67FB7" w:rsidTr="00B627EC">
        <w:trPr>
          <w:gridAfter w:val="1"/>
          <w:wAfter w:w="12" w:type="dxa"/>
          <w:trHeight w:val="1511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2" w:hanging="2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</w:rPr>
            </w:pPr>
          </w:p>
          <w:p w:rsidR="00D67FB7" w:rsidRPr="00D67FB7" w:rsidRDefault="00D67FB7" w:rsidP="006C1028">
            <w:pPr>
              <w:widowControl w:val="0"/>
              <w:spacing w:after="0" w:line="240" w:lineRule="auto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sz w:val="14"/>
                <w:szCs w:val="14"/>
              </w:rPr>
            </w:pPr>
          </w:p>
        </w:tc>
        <w:tc>
          <w:tcPr>
            <w:tcW w:w="3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32" w:hanging="32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Ценовое предложение</w:t>
            </w:r>
          </w:p>
        </w:tc>
      </w:tr>
      <w:tr w:rsidR="00D67FB7" w:rsidRPr="00D67FB7" w:rsidTr="00B627EC">
        <w:trPr>
          <w:gridAfter w:val="1"/>
          <w:wAfter w:w="12" w:type="dxa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5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4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5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344"/>
          <w:jc w:val="center"/>
        </w:trPr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Иные сведения</w:t>
            </w:r>
          </w:p>
        </w:tc>
        <w:tc>
          <w:tcPr>
            <w:tcW w:w="966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4D74F6" w:rsidRDefault="00D67FB7" w:rsidP="006C1028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Примечание</w:t>
            </w:r>
            <w:r w:rsidRPr="00D67FB7">
              <w:rPr>
                <w:rFonts w:ascii="Sylfaen" w:eastAsia="Calibri" w:hAnsi="Sylfaen" w:cs="Times New Roman"/>
                <w:sz w:val="14"/>
                <w:szCs w:val="14"/>
              </w:rPr>
              <w:t>: Иные основания для отклонения заявок.</w:t>
            </w:r>
            <w:r w:rsidR="004D74F6" w:rsidRPr="004D74F6">
              <w:rPr>
                <w:rFonts w:ascii="Sylfaen" w:eastAsia="Calibri" w:hAnsi="Sylfaen" w:cs="Times New Roman"/>
                <w:sz w:val="14"/>
                <w:szCs w:val="14"/>
              </w:rPr>
              <w:t xml:space="preserve"> </w:t>
            </w:r>
            <w:r w:rsidR="004D74F6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Отклоненных заявок нет</w:t>
            </w:r>
          </w:p>
        </w:tc>
      </w:tr>
      <w:tr w:rsidR="00D67FB7" w:rsidRPr="00D67FB7" w:rsidTr="00B627EC">
        <w:trPr>
          <w:gridAfter w:val="1"/>
          <w:wAfter w:w="12" w:type="dxa"/>
          <w:trHeight w:val="197"/>
          <w:jc w:val="center"/>
        </w:trPr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966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129"/>
          <w:jc w:val="center"/>
        </w:trPr>
        <w:tc>
          <w:tcPr>
            <w:tcW w:w="1109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346"/>
          <w:jc w:val="center"/>
        </w:trPr>
        <w:tc>
          <w:tcPr>
            <w:tcW w:w="2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Дата определения отобранного участника</w:t>
            </w:r>
          </w:p>
        </w:tc>
        <w:tc>
          <w:tcPr>
            <w:tcW w:w="81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4D74F6" w:rsidP="00335F2D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22.05.2023г</w:t>
            </w:r>
          </w:p>
        </w:tc>
      </w:tr>
      <w:tr w:rsidR="00D67FB7" w:rsidRPr="00D67FB7" w:rsidTr="00B627EC">
        <w:trPr>
          <w:gridAfter w:val="1"/>
          <w:wAfter w:w="12" w:type="dxa"/>
          <w:trHeight w:val="92"/>
          <w:jc w:val="center"/>
        </w:trPr>
        <w:tc>
          <w:tcPr>
            <w:tcW w:w="2990" w:type="dxa"/>
            <w:gridSpan w:val="10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Период ожидания</w:t>
            </w:r>
          </w:p>
        </w:tc>
        <w:tc>
          <w:tcPr>
            <w:tcW w:w="49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         Окончание периода ожидания</w:t>
            </w:r>
          </w:p>
        </w:tc>
      </w:tr>
      <w:tr w:rsidR="00D67FB7" w:rsidRPr="00D67FB7" w:rsidTr="00B627EC">
        <w:trPr>
          <w:gridAfter w:val="1"/>
          <w:wAfter w:w="12" w:type="dxa"/>
          <w:trHeight w:val="92"/>
          <w:jc w:val="center"/>
        </w:trPr>
        <w:tc>
          <w:tcPr>
            <w:tcW w:w="299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49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4D74F6" w:rsidP="004D74F6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4D74F6" w:rsidP="004D74F6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67FB7" w:rsidRPr="00D67FB7" w:rsidTr="00B627EC">
        <w:trPr>
          <w:gridAfter w:val="1"/>
          <w:wAfter w:w="12" w:type="dxa"/>
          <w:trHeight w:val="344"/>
          <w:jc w:val="center"/>
        </w:trPr>
        <w:tc>
          <w:tcPr>
            <w:tcW w:w="11095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7FB7" w:rsidRPr="004D74F6" w:rsidRDefault="00D67FB7" w:rsidP="00335F2D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4D74F6" w:rsidRPr="004D74F6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    </w:t>
            </w:r>
            <w:r w:rsidR="00335F2D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         </w:t>
            </w:r>
            <w:r w:rsidR="004D74F6" w:rsidRPr="004D74F6">
              <w:rPr>
                <w:rFonts w:ascii="Sylfaen" w:eastAsia="Calibri" w:hAnsi="Sylfaen" w:cs="Times New Roman"/>
                <w:b/>
                <w:sz w:val="14"/>
                <w:szCs w:val="14"/>
              </w:rPr>
              <w:t>23.05.2023г</w:t>
            </w:r>
          </w:p>
        </w:tc>
      </w:tr>
      <w:tr w:rsidR="00DD1E1A" w:rsidRPr="00D67FB7" w:rsidTr="00B627EC">
        <w:trPr>
          <w:gridAfter w:val="1"/>
          <w:wAfter w:w="12" w:type="dxa"/>
          <w:trHeight w:val="344"/>
          <w:jc w:val="center"/>
        </w:trPr>
        <w:tc>
          <w:tcPr>
            <w:tcW w:w="2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E1A" w:rsidRPr="00D67FB7" w:rsidRDefault="00DD1E1A" w:rsidP="00DD1E1A">
            <w:pPr>
              <w:spacing w:after="0" w:line="240" w:lineRule="auto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1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E1A" w:rsidRPr="004C71B8" w:rsidRDefault="00DD1E1A" w:rsidP="00DD1E1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30.05.2023</w:t>
            </w:r>
            <w:r w:rsidRPr="004D74F6">
              <w:rPr>
                <w:rFonts w:ascii="Sylfaen" w:eastAsia="Calibri" w:hAnsi="Sylfaen" w:cs="Times New Roman"/>
                <w:b/>
                <w:sz w:val="14"/>
                <w:szCs w:val="14"/>
              </w:rPr>
              <w:t>г</w:t>
            </w:r>
          </w:p>
        </w:tc>
      </w:tr>
      <w:tr w:rsidR="00DD1E1A" w:rsidRPr="00D67FB7" w:rsidTr="00B627EC">
        <w:trPr>
          <w:gridAfter w:val="1"/>
          <w:wAfter w:w="12" w:type="dxa"/>
          <w:trHeight w:val="344"/>
          <w:jc w:val="center"/>
        </w:trPr>
        <w:tc>
          <w:tcPr>
            <w:tcW w:w="2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E1A" w:rsidRPr="00D67FB7" w:rsidRDefault="00DD1E1A" w:rsidP="00DD1E1A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Дата подписания договора заказчиком</w:t>
            </w:r>
          </w:p>
        </w:tc>
        <w:tc>
          <w:tcPr>
            <w:tcW w:w="81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E1A" w:rsidRPr="004C71B8" w:rsidRDefault="00DD1E1A" w:rsidP="00DD1E1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01.06.2023</w:t>
            </w:r>
            <w:r w:rsidRPr="004D74F6">
              <w:rPr>
                <w:rFonts w:ascii="Sylfaen" w:eastAsia="Calibri" w:hAnsi="Sylfaen" w:cs="Times New Roman"/>
                <w:b/>
                <w:sz w:val="14"/>
                <w:szCs w:val="14"/>
              </w:rPr>
              <w:t>г</w:t>
            </w:r>
          </w:p>
        </w:tc>
      </w:tr>
      <w:tr w:rsidR="00D67FB7" w:rsidRPr="00D67FB7" w:rsidTr="00B627EC">
        <w:trPr>
          <w:gridAfter w:val="1"/>
          <w:wAfter w:w="12" w:type="dxa"/>
          <w:trHeight w:val="288"/>
          <w:jc w:val="center"/>
        </w:trPr>
        <w:tc>
          <w:tcPr>
            <w:tcW w:w="11095" w:type="dxa"/>
            <w:gridSpan w:val="32"/>
            <w:shd w:val="clear" w:color="auto" w:fill="99CCFF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67FB7" w:rsidRPr="00D67FB7" w:rsidTr="00B627EC">
        <w:trPr>
          <w:gridAfter w:val="1"/>
          <w:wAfter w:w="12" w:type="dxa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D67FB7" w:rsidRPr="00D67FB7" w:rsidRDefault="00D67FB7" w:rsidP="006C1028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  <w:p w:rsidR="00D67FB7" w:rsidRPr="00D67FB7" w:rsidRDefault="00D67FB7" w:rsidP="006C1028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Отобранный участник</w:t>
            </w:r>
          </w:p>
        </w:tc>
        <w:tc>
          <w:tcPr>
            <w:tcW w:w="8691" w:type="dxa"/>
            <w:gridSpan w:val="25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Договор</w:t>
            </w:r>
          </w:p>
        </w:tc>
      </w:tr>
      <w:tr w:rsidR="00D67FB7" w:rsidRPr="00D67FB7" w:rsidTr="00B627EC">
        <w:trPr>
          <w:trHeight w:val="237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7" w:type="dxa"/>
            <w:gridSpan w:val="7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Номер договора</w:t>
            </w:r>
          </w:p>
        </w:tc>
        <w:tc>
          <w:tcPr>
            <w:tcW w:w="1871" w:type="dxa"/>
            <w:gridSpan w:val="4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Дата заключения</w:t>
            </w:r>
          </w:p>
        </w:tc>
        <w:tc>
          <w:tcPr>
            <w:tcW w:w="1086" w:type="dxa"/>
            <w:gridSpan w:val="5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Крайний срок исполнения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Размер предоплаты</w:t>
            </w:r>
          </w:p>
        </w:tc>
        <w:tc>
          <w:tcPr>
            <w:tcW w:w="3036" w:type="dxa"/>
            <w:gridSpan w:val="6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Цена</w:t>
            </w:r>
          </w:p>
        </w:tc>
      </w:tr>
      <w:tr w:rsidR="00D67FB7" w:rsidRPr="00D67FB7" w:rsidTr="00B627EC">
        <w:trPr>
          <w:trHeight w:val="238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7" w:type="dxa"/>
            <w:gridSpan w:val="7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71" w:type="dxa"/>
            <w:gridSpan w:val="4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86" w:type="dxa"/>
            <w:gridSpan w:val="5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036" w:type="dxa"/>
            <w:gridSpan w:val="6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Драмов РА</w:t>
            </w:r>
          </w:p>
        </w:tc>
      </w:tr>
      <w:tr w:rsidR="00D67FB7" w:rsidRPr="00D67FB7" w:rsidTr="00B627EC">
        <w:trPr>
          <w:trHeight w:val="1348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 xml:space="preserve">По имеющимся финансовым средствам </w:t>
            </w:r>
          </w:p>
        </w:tc>
        <w:tc>
          <w:tcPr>
            <w:tcW w:w="1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Общая</w:t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en-US"/>
              </w:rPr>
              <w:footnoteReference w:id="14"/>
            </w:r>
          </w:p>
        </w:tc>
      </w:tr>
      <w:tr w:rsidR="00D67FB7" w:rsidRPr="00D67FB7" w:rsidTr="00B627EC">
        <w:trPr>
          <w:trHeight w:val="146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  <w:r w:rsidR="00B627EC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,2,3,4,5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:rsidR="00D67FB7" w:rsidRPr="00D67FB7" w:rsidRDefault="004D74F6" w:rsidP="00706771">
            <w:pPr>
              <w:widowControl w:val="0"/>
              <w:spacing w:after="0" w:line="240" w:lineRule="auto"/>
              <w:ind w:left="-108" w:firstLine="23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4D74F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ИП Сатеник Григорян Оганесовна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D67FB7" w:rsidRPr="00D67FB7" w:rsidRDefault="004D74F6" w:rsidP="0070677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4D74F6">
              <w:rPr>
                <w:rFonts w:ascii="Sylfaen" w:eastAsia="Calibri" w:hAnsi="Sylfaen" w:cs="Times New Roman"/>
                <w:b/>
                <w:sz w:val="14"/>
                <w:szCs w:val="14"/>
                <w:lang w:val="af-ZA"/>
              </w:rPr>
              <w:t>ЦОБЖ-ГХ</w:t>
            </w:r>
            <w:r w:rsidRPr="004D74F6">
              <w:rPr>
                <w:rFonts w:ascii="Sylfaen" w:eastAsia="Calibri" w:hAnsi="Sylfaen" w:cs="Times New Roman"/>
                <w:b/>
                <w:sz w:val="14"/>
                <w:szCs w:val="14"/>
              </w:rPr>
              <w:t>АПД</w:t>
            </w:r>
            <w:r w:rsidRPr="004D74F6">
              <w:rPr>
                <w:rFonts w:ascii="Sylfaen" w:eastAsia="Calibri" w:hAnsi="Sylfaen" w:cs="Times New Roman"/>
                <w:b/>
                <w:sz w:val="14"/>
                <w:szCs w:val="14"/>
                <w:lang w:val="af-ZA"/>
              </w:rPr>
              <w:t>ЗБ-2023/18</w:t>
            </w:r>
          </w:p>
        </w:tc>
        <w:tc>
          <w:tcPr>
            <w:tcW w:w="1871" w:type="dxa"/>
            <w:gridSpan w:val="4"/>
            <w:shd w:val="clear" w:color="auto" w:fill="auto"/>
            <w:vAlign w:val="center"/>
          </w:tcPr>
          <w:p w:rsidR="00D67FB7" w:rsidRPr="00D67FB7" w:rsidRDefault="00335F2D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01.06.2023</w:t>
            </w:r>
            <w:r w:rsidRPr="004D74F6">
              <w:rPr>
                <w:rFonts w:ascii="Sylfaen" w:eastAsia="Calibri" w:hAnsi="Sylfaen" w:cs="Times New Roman"/>
                <w:b/>
                <w:sz w:val="14"/>
                <w:szCs w:val="14"/>
              </w:rPr>
              <w:t>г</w:t>
            </w: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D67FB7" w:rsidRPr="00D67FB7" w:rsidRDefault="00335F2D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21.06.2023</w:t>
            </w:r>
            <w:r w:rsidRPr="004D74F6">
              <w:rPr>
                <w:rFonts w:ascii="Sylfaen" w:eastAsia="Calibri" w:hAnsi="Sylfaen" w:cs="Times New Roman"/>
                <w:b/>
                <w:sz w:val="14"/>
                <w:szCs w:val="14"/>
              </w:rPr>
              <w:t>г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D67FB7" w:rsidRPr="00D67FB7" w:rsidRDefault="00335F2D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67FB7" w:rsidRPr="00D67FB7" w:rsidRDefault="00335F2D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  <w:t>2343500</w:t>
            </w: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D67FB7" w:rsidRPr="00D67FB7" w:rsidRDefault="00335F2D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  <w:r w:rsidRPr="000D47A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2434500</w:t>
            </w:r>
          </w:p>
        </w:tc>
      </w:tr>
      <w:tr w:rsidR="00D67FB7" w:rsidRPr="00D67FB7" w:rsidTr="00B627EC">
        <w:trPr>
          <w:gridAfter w:val="1"/>
          <w:wAfter w:w="12" w:type="dxa"/>
          <w:trHeight w:val="150"/>
          <w:jc w:val="center"/>
        </w:trPr>
        <w:tc>
          <w:tcPr>
            <w:tcW w:w="11095" w:type="dxa"/>
            <w:gridSpan w:val="32"/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67FB7" w:rsidRPr="00D67FB7" w:rsidTr="00B627EC">
        <w:trPr>
          <w:gridAfter w:val="1"/>
          <w:wAfter w:w="12" w:type="dxa"/>
          <w:trHeight w:val="125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Отобранный участник</w:t>
            </w:r>
          </w:p>
        </w:tc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Адрес, тел.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Эл. почта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УНН</w:t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  <w:lang w:val="en-US"/>
              </w:rPr>
              <w:footnoteReference w:id="15"/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D74F6" w:rsidRPr="004D74F6" w:rsidTr="00B627EC">
        <w:trPr>
          <w:gridAfter w:val="1"/>
          <w:wAfter w:w="12" w:type="dxa"/>
          <w:trHeight w:val="155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4F6" w:rsidRPr="00D67FB7" w:rsidRDefault="004D74F6" w:rsidP="004D74F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1</w:t>
            </w:r>
            <w:r w:rsidR="00B627EC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,2,3,4,5</w:t>
            </w:r>
            <w:bookmarkStart w:id="0" w:name="_GoBack"/>
            <w:bookmarkEnd w:id="0"/>
          </w:p>
        </w:tc>
        <w:tc>
          <w:tcPr>
            <w:tcW w:w="15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4F6" w:rsidRPr="00D67FB7" w:rsidRDefault="002B5AA6" w:rsidP="00706771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2B5AA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ИП Сатеник Григорян Оганесовна</w:t>
            </w:r>
          </w:p>
        </w:tc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4F6" w:rsidRPr="002B5AA6" w:rsidRDefault="004D74F6" w:rsidP="004D74F6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г. Ереван, 2-ой пер. </w:t>
            </w:r>
            <w:r w:rsidRPr="002B5AA6">
              <w:rPr>
                <w:rFonts w:ascii="Sylfaen" w:eastAsia="Calibri" w:hAnsi="Sylfaen" w:cs="Times New Roman"/>
                <w:b/>
                <w:sz w:val="14"/>
                <w:szCs w:val="14"/>
              </w:rPr>
              <w:t>Гоша, дом 6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4F6" w:rsidRPr="00D67FB7" w:rsidRDefault="002073DA" w:rsidP="004D74F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hyperlink r:id="rId7" w:history="1">
              <w:r w:rsidR="004D74F6" w:rsidRPr="002C66EE">
                <w:rPr>
                  <w:rStyle w:val="Hyperlink"/>
                  <w:rFonts w:ascii="Sylfaen" w:eastAsia="Times New Roman" w:hAnsi="Sylfaen" w:cs="Times New Roman"/>
                  <w:b/>
                  <w:sz w:val="14"/>
                  <w:szCs w:val="14"/>
                  <w:lang w:val="en-US" w:eastAsia="ru-RU"/>
                </w:rPr>
                <w:t>grigoryansatenik</w:t>
              </w:r>
              <w:r w:rsidR="004D74F6" w:rsidRPr="004D74F6">
                <w:rPr>
                  <w:rStyle w:val="Hyperlink"/>
                  <w:rFonts w:ascii="Sylfaen" w:eastAsia="Times New Roman" w:hAnsi="Sylfaen" w:cs="Times New Roman"/>
                  <w:b/>
                  <w:sz w:val="14"/>
                  <w:szCs w:val="14"/>
                  <w:lang w:eastAsia="ru-RU"/>
                </w:rPr>
                <w:t>@</w:t>
              </w:r>
              <w:r w:rsidR="004D74F6" w:rsidRPr="002C66EE">
                <w:rPr>
                  <w:rStyle w:val="Hyperlink"/>
                  <w:rFonts w:ascii="Sylfaen" w:eastAsia="Times New Roman" w:hAnsi="Sylfaen" w:cs="Times New Roman"/>
                  <w:b/>
                  <w:sz w:val="14"/>
                  <w:szCs w:val="14"/>
                  <w:lang w:val="en-US" w:eastAsia="ru-RU"/>
                </w:rPr>
                <w:t>yandex</w:t>
              </w:r>
              <w:r w:rsidR="004D74F6" w:rsidRPr="004D74F6">
                <w:rPr>
                  <w:rStyle w:val="Hyperlink"/>
                  <w:rFonts w:ascii="Sylfaen" w:eastAsia="Times New Roman" w:hAnsi="Sylfaen" w:cs="Times New Roman"/>
                  <w:b/>
                  <w:sz w:val="14"/>
                  <w:szCs w:val="14"/>
                  <w:lang w:eastAsia="ru-RU"/>
                </w:rPr>
                <w:t>.</w:t>
              </w:r>
              <w:r w:rsidR="004D74F6" w:rsidRPr="002C66EE">
                <w:rPr>
                  <w:rStyle w:val="Hyperlink"/>
                  <w:rFonts w:ascii="Sylfaen" w:eastAsia="Times New Roman" w:hAnsi="Sylfaen" w:cs="Times New Roman"/>
                  <w:b/>
                  <w:sz w:val="14"/>
                  <w:szCs w:val="14"/>
                  <w:lang w:val="en-US" w:eastAsia="ru-RU"/>
                </w:rPr>
                <w:t>com</w:t>
              </w:r>
            </w:hyperlink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4F6" w:rsidRPr="00D67FB7" w:rsidRDefault="00706771" w:rsidP="004D74F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0677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1570088808800100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4F6" w:rsidRPr="00D67FB7" w:rsidRDefault="004D74F6" w:rsidP="004D74F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2C66E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28000383</w:t>
            </w:r>
          </w:p>
        </w:tc>
      </w:tr>
      <w:tr w:rsidR="00D67FB7" w:rsidRPr="004D74F6" w:rsidTr="00B627EC">
        <w:trPr>
          <w:gridAfter w:val="1"/>
          <w:wAfter w:w="12" w:type="dxa"/>
          <w:trHeight w:val="288"/>
          <w:jc w:val="center"/>
        </w:trPr>
        <w:tc>
          <w:tcPr>
            <w:tcW w:w="11095" w:type="dxa"/>
            <w:gridSpan w:val="32"/>
            <w:shd w:val="clear" w:color="auto" w:fill="99CCFF"/>
            <w:vAlign w:val="center"/>
          </w:tcPr>
          <w:p w:rsidR="00D67FB7" w:rsidRPr="004D74F6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D67FB7" w:rsidRPr="00D67FB7" w:rsidTr="00B62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4D74F6" w:rsidRDefault="00D67FB7" w:rsidP="006C1028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4D74F6">
              <w:rPr>
                <w:rFonts w:ascii="Sylfaen" w:eastAsia="Calibri" w:hAnsi="Sylfaen" w:cs="Times New Roma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Примечание</w:t>
            </w:r>
            <w:r w:rsidRPr="00D67FB7">
              <w:rPr>
                <w:rFonts w:ascii="Sylfaen" w:eastAsia="Calibri" w:hAnsi="Sylfaen" w:cs="Times New Roma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67FB7" w:rsidRPr="00D67FB7" w:rsidTr="00B627EC">
        <w:trPr>
          <w:gridAfter w:val="1"/>
          <w:wAfter w:w="12" w:type="dxa"/>
          <w:trHeight w:val="288"/>
          <w:jc w:val="center"/>
        </w:trPr>
        <w:tc>
          <w:tcPr>
            <w:tcW w:w="11095" w:type="dxa"/>
            <w:gridSpan w:val="32"/>
            <w:shd w:val="clear" w:color="auto" w:fill="99CCFF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475"/>
          <w:jc w:val="center"/>
        </w:trPr>
        <w:tc>
          <w:tcPr>
            <w:tcW w:w="1109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</w:t>
            </w:r>
            <w:r w:rsidR="002B5AA6" w:rsidRPr="002B5AA6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5</w:t>
            </w: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  календарных дней после опубликования настоящего объявления.</w:t>
            </w: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заказчика-</w:t>
            </w:r>
            <w:r w:rsidR="002B5AA6" w:rsidRPr="002B5AA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2B5AA6" w:rsidRPr="002B5AA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yerevan</w:t>
            </w:r>
            <w:r w:rsidR="002B5AA6" w:rsidRPr="002B5AA6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.</w:t>
            </w:r>
            <w:r w:rsidR="002B5AA6" w:rsidRPr="002B5AA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cnsa</w:t>
            </w:r>
            <w:r w:rsidR="002B5AA6" w:rsidRPr="002B5AA6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@</w:t>
            </w:r>
            <w:r w:rsidR="002B5AA6" w:rsidRPr="002B5AA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gmail</w:t>
            </w:r>
            <w:r w:rsidR="002B5AA6" w:rsidRPr="002B5AA6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.</w:t>
            </w:r>
            <w:r w:rsidR="002B5AA6" w:rsidRPr="002B5AA6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com</w:t>
            </w: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.</w:t>
            </w:r>
            <w:r w:rsidRPr="00D67FB7">
              <w:rPr>
                <w:rFonts w:ascii="Sylfaen" w:eastAsia="Calibri" w:hAnsi="Sylfaen" w:cs="Times New Roman"/>
                <w:b/>
                <w:bCs/>
                <w:sz w:val="14"/>
                <w:szCs w:val="14"/>
                <w:vertAlign w:val="superscript"/>
              </w:rPr>
              <w:footnoteReference w:customMarkFollows="1" w:id="16"/>
              <w:t>8</w:t>
            </w:r>
          </w:p>
        </w:tc>
      </w:tr>
      <w:tr w:rsidR="00D67FB7" w:rsidRPr="00D67FB7" w:rsidTr="00B627EC">
        <w:trPr>
          <w:gridAfter w:val="1"/>
          <w:wAfter w:w="12" w:type="dxa"/>
          <w:trHeight w:val="475"/>
          <w:jc w:val="center"/>
        </w:trPr>
        <w:tc>
          <w:tcPr>
            <w:tcW w:w="25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7FB7" w:rsidRPr="00D67FB7" w:rsidRDefault="00D67FB7" w:rsidP="006C1028">
            <w:pPr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D67FB7" w:rsidRPr="002B5AA6" w:rsidRDefault="002B5AA6" w:rsidP="002B5AA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D67FB7" w:rsidRPr="00D67FB7" w:rsidTr="00B627EC">
        <w:trPr>
          <w:gridAfter w:val="1"/>
          <w:wAfter w:w="12" w:type="dxa"/>
          <w:trHeight w:val="288"/>
          <w:jc w:val="center"/>
        </w:trPr>
        <w:tc>
          <w:tcPr>
            <w:tcW w:w="11095" w:type="dxa"/>
            <w:gridSpan w:val="32"/>
            <w:shd w:val="clear" w:color="auto" w:fill="99CCFF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427"/>
          <w:jc w:val="center"/>
        </w:trPr>
        <w:tc>
          <w:tcPr>
            <w:tcW w:w="25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</w:t>
            </w: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lastRenderedPageBreak/>
              <w:t>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2B5AA6" w:rsidRDefault="002B5AA6" w:rsidP="002B5AA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lastRenderedPageBreak/>
              <w:t>-</w:t>
            </w:r>
          </w:p>
        </w:tc>
      </w:tr>
      <w:tr w:rsidR="00D67FB7" w:rsidRPr="00D67FB7" w:rsidTr="00B627EC">
        <w:trPr>
          <w:gridAfter w:val="1"/>
          <w:wAfter w:w="12" w:type="dxa"/>
          <w:trHeight w:val="288"/>
          <w:jc w:val="center"/>
        </w:trPr>
        <w:tc>
          <w:tcPr>
            <w:tcW w:w="1109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427"/>
          <w:jc w:val="center"/>
        </w:trPr>
        <w:tc>
          <w:tcPr>
            <w:tcW w:w="25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2B5AA6" w:rsidRDefault="002B5AA6" w:rsidP="002B5AA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D67FB7" w:rsidRPr="00D67FB7" w:rsidTr="00B627EC">
        <w:trPr>
          <w:gridAfter w:val="1"/>
          <w:wAfter w:w="12" w:type="dxa"/>
          <w:trHeight w:val="288"/>
          <w:jc w:val="center"/>
        </w:trPr>
        <w:tc>
          <w:tcPr>
            <w:tcW w:w="11095" w:type="dxa"/>
            <w:gridSpan w:val="32"/>
            <w:shd w:val="clear" w:color="auto" w:fill="99CCFF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427"/>
          <w:jc w:val="center"/>
        </w:trPr>
        <w:tc>
          <w:tcPr>
            <w:tcW w:w="25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2B5AA6" w:rsidP="002B5AA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D67FB7" w:rsidRPr="00D67FB7" w:rsidTr="00B627EC">
        <w:trPr>
          <w:gridAfter w:val="1"/>
          <w:wAfter w:w="12" w:type="dxa"/>
          <w:trHeight w:val="288"/>
          <w:jc w:val="center"/>
        </w:trPr>
        <w:tc>
          <w:tcPr>
            <w:tcW w:w="11095" w:type="dxa"/>
            <w:gridSpan w:val="32"/>
            <w:shd w:val="clear" w:color="auto" w:fill="99CCFF"/>
            <w:vAlign w:val="center"/>
          </w:tcPr>
          <w:p w:rsidR="00D67FB7" w:rsidRPr="00D67FB7" w:rsidRDefault="00D67FB7" w:rsidP="006C1028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67FB7" w:rsidRPr="00D67FB7" w:rsidTr="00B627EC">
        <w:trPr>
          <w:gridAfter w:val="1"/>
          <w:wAfter w:w="12" w:type="dxa"/>
          <w:trHeight w:val="227"/>
          <w:jc w:val="center"/>
        </w:trPr>
        <w:tc>
          <w:tcPr>
            <w:tcW w:w="11095" w:type="dxa"/>
            <w:gridSpan w:val="32"/>
            <w:shd w:val="clear" w:color="auto" w:fill="auto"/>
            <w:vAlign w:val="center"/>
          </w:tcPr>
          <w:p w:rsidR="00D67FB7" w:rsidRPr="00D67FB7" w:rsidRDefault="00D67FB7" w:rsidP="006C1028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67FB7" w:rsidRPr="00D67FB7" w:rsidTr="00B627EC">
        <w:trPr>
          <w:gridAfter w:val="1"/>
          <w:wAfter w:w="12" w:type="dxa"/>
          <w:trHeight w:val="47"/>
          <w:jc w:val="center"/>
        </w:trPr>
        <w:tc>
          <w:tcPr>
            <w:tcW w:w="1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Имя, Фамилия</w:t>
            </w:r>
          </w:p>
        </w:tc>
        <w:tc>
          <w:tcPr>
            <w:tcW w:w="51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7FB7" w:rsidRPr="00D67FB7" w:rsidRDefault="00D67FB7" w:rsidP="006C1028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</w:pPr>
            <w:r w:rsidRPr="00D67FB7">
              <w:rPr>
                <w:rFonts w:ascii="Sylfaen" w:eastAsia="Calibri" w:hAnsi="Sylfaen" w:cs="Times New Roman"/>
                <w:b/>
                <w:sz w:val="14"/>
                <w:szCs w:val="14"/>
                <w:lang w:val="en-US"/>
              </w:rPr>
              <w:t>Адрес эл. почты</w:t>
            </w:r>
          </w:p>
        </w:tc>
      </w:tr>
      <w:tr w:rsidR="002B5AA6" w:rsidRPr="00162505" w:rsidTr="00B627EC">
        <w:trPr>
          <w:gridAfter w:val="2"/>
          <w:wAfter w:w="627" w:type="dxa"/>
          <w:trHeight w:val="46"/>
          <w:jc w:val="center"/>
        </w:trPr>
        <w:tc>
          <w:tcPr>
            <w:tcW w:w="2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A6" w:rsidRPr="00162505" w:rsidRDefault="002B5AA6" w:rsidP="004C71B8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 w:rsidRPr="00162505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Армине Оганесян</w:t>
            </w: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A6" w:rsidRPr="00162505" w:rsidRDefault="002B5AA6" w:rsidP="004C71B8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 w:rsidRPr="00162505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  <w:t>011 514 539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5AA6" w:rsidRPr="00162505" w:rsidRDefault="002B5AA6" w:rsidP="004C71B8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en-US"/>
              </w:rPr>
            </w:pPr>
            <w:r w:rsidRPr="00162505"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tkvk.gnum@gmail.com</w:t>
            </w:r>
          </w:p>
        </w:tc>
      </w:tr>
    </w:tbl>
    <w:p w:rsidR="002B5AA6" w:rsidRDefault="002B5AA6" w:rsidP="002B5AA6">
      <w:pPr>
        <w:spacing w:after="0"/>
        <w:rPr>
          <w:rFonts w:ascii="Sylfaen" w:eastAsia="Calibri" w:hAnsi="Sylfaen" w:cs="Times New Roman"/>
          <w:b/>
          <w:bCs/>
          <w:sz w:val="14"/>
          <w:szCs w:val="14"/>
        </w:rPr>
      </w:pPr>
    </w:p>
    <w:p w:rsidR="002B5AA6" w:rsidRPr="00162505" w:rsidRDefault="002B5AA6" w:rsidP="002B5AA6">
      <w:pPr>
        <w:spacing w:after="0"/>
        <w:ind w:left="1416" w:firstLine="708"/>
        <w:rPr>
          <w:rFonts w:ascii="Sylfaen" w:eastAsia="Calibri" w:hAnsi="Sylfaen" w:cs="Times New Roman"/>
          <w:b/>
          <w:bCs/>
          <w:sz w:val="14"/>
          <w:szCs w:val="14"/>
        </w:rPr>
      </w:pPr>
      <w:r w:rsidRPr="00162505">
        <w:rPr>
          <w:rFonts w:ascii="Sylfaen" w:eastAsia="Calibri" w:hAnsi="Sylfaen" w:cs="Times New Roman"/>
          <w:b/>
          <w:bCs/>
          <w:sz w:val="14"/>
          <w:szCs w:val="14"/>
        </w:rPr>
        <w:t xml:space="preserve">Заказчик: </w:t>
      </w:r>
      <w:r w:rsidRPr="00162505">
        <w:rPr>
          <w:rFonts w:ascii="Sylfaen" w:eastAsia="Calibri" w:hAnsi="Sylfaen" w:cs="Times New Roman"/>
          <w:b/>
          <w:bCs/>
          <w:sz w:val="14"/>
          <w:szCs w:val="14"/>
          <w:lang w:val="af-ZA"/>
        </w:rPr>
        <w:t>«Центр по обезвреживанию бродячих животных» ОНКО</w:t>
      </w:r>
    </w:p>
    <w:p w:rsidR="002B5AA6" w:rsidRDefault="002B5AA6" w:rsidP="002B5AA6">
      <w:pPr>
        <w:spacing w:after="0"/>
      </w:pPr>
    </w:p>
    <w:p w:rsidR="00A63866" w:rsidRDefault="00A63866" w:rsidP="006C1028">
      <w:pPr>
        <w:spacing w:after="0"/>
      </w:pPr>
    </w:p>
    <w:sectPr w:rsidR="00A63866" w:rsidSect="00CB13DB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07" w:rsidRDefault="00CB0E07" w:rsidP="00D67FB7">
      <w:pPr>
        <w:spacing w:after="0" w:line="240" w:lineRule="auto"/>
      </w:pPr>
      <w:r>
        <w:separator/>
      </w:r>
    </w:p>
  </w:endnote>
  <w:endnote w:type="continuationSeparator" w:id="0">
    <w:p w:rsidR="00CB0E07" w:rsidRDefault="00CB0E07" w:rsidP="00D6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07" w:rsidRDefault="00CB0E07" w:rsidP="00D67FB7">
      <w:pPr>
        <w:spacing w:after="0" w:line="240" w:lineRule="auto"/>
      </w:pPr>
      <w:r>
        <w:separator/>
      </w:r>
    </w:p>
  </w:footnote>
  <w:footnote w:type="continuationSeparator" w:id="0">
    <w:p w:rsidR="00CB0E07" w:rsidRDefault="00CB0E07" w:rsidP="00D67FB7">
      <w:pPr>
        <w:spacing w:after="0" w:line="240" w:lineRule="auto"/>
      </w:pPr>
      <w:r>
        <w:continuationSeparator/>
      </w:r>
    </w:p>
  </w:footnote>
  <w:footnote w:id="1">
    <w:p w:rsidR="002073DA" w:rsidRPr="00541A77" w:rsidRDefault="002073DA" w:rsidP="00D67FB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073DA" w:rsidRPr="002D0BF6" w:rsidRDefault="002073DA" w:rsidP="00D67F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073DA" w:rsidRPr="002D0BF6" w:rsidRDefault="002073DA" w:rsidP="00D67F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73DA" w:rsidRPr="002D0BF6" w:rsidRDefault="002073DA" w:rsidP="00D67F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073DA" w:rsidRPr="002D0BF6" w:rsidRDefault="002073DA" w:rsidP="00D67F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73DA" w:rsidRPr="00871366" w:rsidRDefault="002073DA" w:rsidP="00D67F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73DA" w:rsidRPr="002D0BF6" w:rsidRDefault="002073DA" w:rsidP="00D67FB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73DA" w:rsidRPr="0078682E" w:rsidRDefault="002073DA" w:rsidP="00D67F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073DA" w:rsidRPr="0078682E" w:rsidRDefault="002073DA" w:rsidP="00D67F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073DA" w:rsidRPr="00005B9C" w:rsidRDefault="002073DA" w:rsidP="00D67FB7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073DA" w:rsidRPr="004F6EEB" w:rsidRDefault="002073DA" w:rsidP="00D67FB7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4F6EEB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10">
    <w:p w:rsidR="002073DA" w:rsidRPr="004F6EEB" w:rsidRDefault="002073DA" w:rsidP="00D67FB7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325D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325D8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:rsidR="002073DA" w:rsidRPr="004F6EEB" w:rsidRDefault="002073DA" w:rsidP="00D67FB7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325D8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325D8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:rsidR="002073DA" w:rsidRPr="004F6EEB" w:rsidRDefault="002073DA" w:rsidP="00D67FB7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13">
    <w:p w:rsidR="002073DA" w:rsidRPr="004F6EEB" w:rsidRDefault="002073DA" w:rsidP="00D67FB7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F325D8">
        <w:rPr>
          <w:rFonts w:ascii="GHEA Grapalat" w:hAnsi="GHEA Grapalat"/>
          <w:i/>
          <w:sz w:val="16"/>
          <w:szCs w:val="16"/>
        </w:rPr>
        <w:t xml:space="preserve"> </w:t>
      </w:r>
      <w:r w:rsidRPr="00F325D8">
        <w:rPr>
          <w:rFonts w:ascii="GHEA Grapalat" w:hAnsi="GHEA Grapalat"/>
          <w:i/>
          <w:sz w:val="16"/>
          <w:szCs w:val="16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:rsidR="002073DA" w:rsidRPr="00263338" w:rsidRDefault="002073DA" w:rsidP="00D67FB7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:rsidR="002073DA" w:rsidRPr="00263338" w:rsidRDefault="002073DA" w:rsidP="00D67FB7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325D8">
        <w:rPr>
          <w:rFonts w:ascii="GHEA Grapalat" w:hAnsi="GHEA Grapalat"/>
          <w:i/>
          <w:sz w:val="16"/>
          <w:szCs w:val="16"/>
        </w:rPr>
        <w:t xml:space="preserve"> </w:t>
      </w:r>
      <w:r w:rsidRPr="00F325D8">
        <w:rPr>
          <w:rFonts w:ascii="GHEA Grapalat" w:hAnsi="GHEA Grapalat"/>
          <w:i/>
          <w:sz w:val="16"/>
          <w:szCs w:val="16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:rsidR="002073DA" w:rsidRPr="000E649B" w:rsidRDefault="002073DA" w:rsidP="00D67FB7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2073DA" w:rsidRPr="000E649B" w:rsidRDefault="002073DA" w:rsidP="00D67FB7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2073DA" w:rsidRPr="00F325D8" w:rsidRDefault="002073DA" w:rsidP="00D67FB7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F325D8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ED"/>
    <w:rsid w:val="00060AA5"/>
    <w:rsid w:val="000D47A0"/>
    <w:rsid w:val="000F6F06"/>
    <w:rsid w:val="00104CB1"/>
    <w:rsid w:val="00113E71"/>
    <w:rsid w:val="00114292"/>
    <w:rsid w:val="001A5DDE"/>
    <w:rsid w:val="002073DA"/>
    <w:rsid w:val="00250833"/>
    <w:rsid w:val="002B5AA6"/>
    <w:rsid w:val="002C66EE"/>
    <w:rsid w:val="00335F2D"/>
    <w:rsid w:val="004C71B8"/>
    <w:rsid w:val="004D74F6"/>
    <w:rsid w:val="00597BD6"/>
    <w:rsid w:val="00606D0E"/>
    <w:rsid w:val="006C1028"/>
    <w:rsid w:val="00706771"/>
    <w:rsid w:val="00711FF8"/>
    <w:rsid w:val="009F0254"/>
    <w:rsid w:val="00A63866"/>
    <w:rsid w:val="00B627EC"/>
    <w:rsid w:val="00CB0E07"/>
    <w:rsid w:val="00CB13DB"/>
    <w:rsid w:val="00D67FB7"/>
    <w:rsid w:val="00DD1E1A"/>
    <w:rsid w:val="00E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C47A2-3004-4FD9-82B7-A28537CA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67F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FB7"/>
    <w:rPr>
      <w:sz w:val="20"/>
      <w:szCs w:val="20"/>
    </w:rPr>
  </w:style>
  <w:style w:type="character" w:styleId="FootnoteReference">
    <w:name w:val="footnote reference"/>
    <w:rsid w:val="00D67F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C6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igoryansatenik@yand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goryansatenik@yande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3690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2023-05-24T05:43:00Z</dcterms:created>
  <dcterms:modified xsi:type="dcterms:W3CDTF">2023-05-31T08:51:00Z</dcterms:modified>
</cp:coreProperties>
</file>