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C2842C2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«Թափառող կենդանիների (շների) վնասազերծման (ստերիլիզացման) ծառայությունների»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879C9" w:rsidRPr="007879C9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ԳՄՄՀ-ԳՀԾՁԲ-26/01     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26A3E" w:rsidRPr="001746C4" w14:paraId="6CB0AC86" w14:textId="77777777" w:rsidTr="0034152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0F643FD" w:rsidR="00126A3E" w:rsidRPr="0095634A" w:rsidRDefault="00592185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թափառող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կենդանիների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շների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վնասազերծման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ստերիլիզացման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ծառայությունների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126A3E" w:rsidRPr="006E4E8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EFB1D17" w:rsidR="00126A3E" w:rsidRPr="001746C4" w:rsidRDefault="007879C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A94B39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126A3E" w:rsidRP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5315492D" w:rsidR="00126A3E" w:rsidRPr="001746C4" w:rsidRDefault="007879C9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879C9">
              <w:rPr>
                <w:b/>
                <w:sz w:val="20"/>
                <w:szCs w:val="20"/>
              </w:rPr>
              <w:t>13,000,000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4938F96" w:rsidR="00126A3E" w:rsidRPr="001746C4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54EB65D" w:rsidR="00126A3E" w:rsidRPr="00837E72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879C9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879C9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7FB585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</w:tbl>
    <w:tbl>
      <w:tblPr>
        <w:tblStyle w:val="1"/>
        <w:tblW w:w="111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620"/>
        <w:gridCol w:w="2160"/>
        <w:gridCol w:w="1440"/>
        <w:gridCol w:w="2880"/>
      </w:tblGrid>
      <w:tr w:rsidR="007879C9" w:rsidRPr="007879C9" w14:paraId="1C76D98C" w14:textId="77777777" w:rsidTr="007879C9">
        <w:trPr>
          <w:trHeight w:val="413"/>
        </w:trPr>
        <w:tc>
          <w:tcPr>
            <w:tcW w:w="1350" w:type="dxa"/>
          </w:tcPr>
          <w:p w14:paraId="152F1640" w14:textId="77777777" w:rsidR="007879C9" w:rsidRPr="00666249" w:rsidRDefault="007879C9" w:rsidP="0079344E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14:paraId="4A75564A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620" w:type="dxa"/>
          </w:tcPr>
          <w:p w14:paraId="127C21D6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14:paraId="3F2AD720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160" w:type="dxa"/>
          </w:tcPr>
          <w:p w14:paraId="698BABEE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14:paraId="2E4FCA57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14:paraId="46122F44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14:paraId="42AC1E5E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</w:tcPr>
          <w:p w14:paraId="6015CDBE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14:paraId="3F82EACF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7879C9" w:rsidRPr="007879C9" w14:paraId="1D49943C" w14:textId="77777777" w:rsidTr="007879C9">
        <w:trPr>
          <w:trHeight w:val="485"/>
        </w:trPr>
        <w:tc>
          <w:tcPr>
            <w:tcW w:w="1350" w:type="dxa"/>
          </w:tcPr>
          <w:p w14:paraId="16849B3D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14:paraId="784442A8" w14:textId="77777777" w:rsidR="007879C9" w:rsidRPr="00D16819" w:rsidRDefault="007879C9" w:rsidP="0079344E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620" w:type="dxa"/>
            <w:vMerge w:val="restart"/>
            <w:vAlign w:val="center"/>
          </w:tcPr>
          <w:p w14:paraId="6DBE1C84" w14:textId="77777777" w:rsidR="007879C9" w:rsidRDefault="007879C9" w:rsidP="0079344E">
            <w:pPr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13 000 000</w:t>
            </w:r>
          </w:p>
          <w:p w14:paraId="3158ECF7" w14:textId="77777777" w:rsidR="007879C9" w:rsidRPr="00666249" w:rsidRDefault="007879C9" w:rsidP="0079344E">
            <w:pPr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/տասներեք միլիոն/</w:t>
            </w:r>
          </w:p>
        </w:tc>
        <w:tc>
          <w:tcPr>
            <w:tcW w:w="2160" w:type="dxa"/>
          </w:tcPr>
          <w:p w14:paraId="3B8780B2" w14:textId="77777777" w:rsidR="007879C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7 950 000</w:t>
            </w:r>
          </w:p>
          <w:p w14:paraId="5860F2A5" w14:textId="77777777" w:rsidR="007879C9" w:rsidRPr="0066624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/յոթ միլիոն ինը հարյուր հիսուն հազար/</w:t>
            </w:r>
          </w:p>
        </w:tc>
        <w:tc>
          <w:tcPr>
            <w:tcW w:w="1440" w:type="dxa"/>
          </w:tcPr>
          <w:p w14:paraId="1A4996CF" w14:textId="77777777" w:rsidR="007879C9" w:rsidRPr="00D1681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880" w:type="dxa"/>
          </w:tcPr>
          <w:p w14:paraId="142B4823" w14:textId="77777777" w:rsidR="007879C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7 950 000</w:t>
            </w:r>
          </w:p>
          <w:p w14:paraId="5B7B1E63" w14:textId="77777777" w:rsidR="007879C9" w:rsidRPr="0066624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/յոթ միլիոն ինը հարյուր հիսուն հազար/</w:t>
            </w:r>
          </w:p>
        </w:tc>
      </w:tr>
      <w:tr w:rsidR="007879C9" w:rsidRPr="00D16819" w14:paraId="63510447" w14:textId="77777777" w:rsidTr="007879C9">
        <w:tc>
          <w:tcPr>
            <w:tcW w:w="1350" w:type="dxa"/>
          </w:tcPr>
          <w:p w14:paraId="2AC8743A" w14:textId="77777777" w:rsidR="007879C9" w:rsidRPr="00D16819" w:rsidRDefault="007879C9" w:rsidP="0079344E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710" w:type="dxa"/>
          </w:tcPr>
          <w:p w14:paraId="671F91E9" w14:textId="77777777" w:rsidR="007879C9" w:rsidRPr="00D16819" w:rsidRDefault="007879C9" w:rsidP="0079344E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>&lt;&lt;</w:t>
            </w:r>
            <w:proofErr w:type="spellStart"/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Վերոնիկա</w:t>
            </w:r>
            <w:proofErr w:type="spellEnd"/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Հակոբյան</w:t>
            </w:r>
            <w:proofErr w:type="spellEnd"/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Անդրանիկի</w:t>
            </w:r>
            <w:proofErr w:type="spellEnd"/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620" w:type="dxa"/>
            <w:vMerge/>
          </w:tcPr>
          <w:p w14:paraId="412D845E" w14:textId="77777777" w:rsidR="007879C9" w:rsidRPr="00D16819" w:rsidRDefault="007879C9" w:rsidP="0079344E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14:paraId="0A3BD322" w14:textId="77777777" w:rsidR="007879C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12 000 000</w:t>
            </w:r>
          </w:p>
          <w:p w14:paraId="341F6FAE" w14:textId="77777777" w:rsidR="007879C9" w:rsidRPr="0066624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/տասներկու միլիոն/</w:t>
            </w:r>
          </w:p>
        </w:tc>
        <w:tc>
          <w:tcPr>
            <w:tcW w:w="1440" w:type="dxa"/>
          </w:tcPr>
          <w:p w14:paraId="350C461F" w14:textId="77777777" w:rsidR="007879C9" w:rsidRPr="0066624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880" w:type="dxa"/>
          </w:tcPr>
          <w:p w14:paraId="32EAD9EC" w14:textId="77777777" w:rsidR="007879C9" w:rsidRPr="0066624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>12 000 000</w:t>
            </w:r>
          </w:p>
          <w:p w14:paraId="76B6F139" w14:textId="77777777" w:rsidR="007879C9" w:rsidRPr="00D16819" w:rsidRDefault="007879C9" w:rsidP="0079344E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>/</w:t>
            </w:r>
            <w:r w:rsidRPr="00666249">
              <w:rPr>
                <w:rFonts w:ascii="Arial" w:hAnsi="Arial" w:cs="Arial"/>
                <w:sz w:val="18"/>
                <w:szCs w:val="18"/>
                <w:lang w:val="hy-AM"/>
              </w:rPr>
              <w:t>տասներկու</w:t>
            </w: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 xml:space="preserve"> </w:t>
            </w:r>
            <w:r w:rsidRPr="00666249">
              <w:rPr>
                <w:rFonts w:ascii="Arial" w:hAnsi="Arial" w:cs="Arial"/>
                <w:sz w:val="18"/>
                <w:szCs w:val="18"/>
                <w:lang w:val="hy-AM"/>
              </w:rPr>
              <w:t>միլիոն</w:t>
            </w: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>/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CF52C8" w:rsidR="0022631D" w:rsidRPr="00183368" w:rsidRDefault="00284F4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02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9C5728" w:rsidR="0022631D" w:rsidRPr="00183368" w:rsidRDefault="00284F4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33008F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AF7055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17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AF7055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10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84F4B" w:rsidRPr="00BE60AE" w14:paraId="3C75DA26" w14:textId="77777777" w:rsidTr="00645A06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33ABE4FF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t>2</w:t>
            </w:r>
            <w:r>
              <w:rPr>
                <w:rFonts w:ascii="Sylfaen" w:hAnsi="Sylfaen"/>
                <w:lang w:val="hy-AM"/>
              </w:rPr>
              <w:t>3</w:t>
            </w:r>
            <w:bookmarkStart w:id="0" w:name="_GoBack"/>
            <w:bookmarkEnd w:id="0"/>
            <w:r w:rsidRPr="00CB1FFD">
              <w:t>.02.2026թ.</w:t>
            </w:r>
          </w:p>
        </w:tc>
      </w:tr>
      <w:tr w:rsidR="00284F4B" w:rsidRPr="006E4E84" w14:paraId="0682C6BE" w14:textId="77777777" w:rsidTr="00645A06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376B8A36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CB1FFD">
              <w:t>24.02.2026թ.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6CA37AFE" w:rsidR="004848A4" w:rsidRPr="00D80918" w:rsidRDefault="007879C9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879C9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ՄԵԼԻՔ ՍՄԲԱՏՅԱՆ ԱՏՈՄԻ Ա/Ձ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272B8FAE" w:rsidR="004848A4" w:rsidRPr="00B31E01" w:rsidRDefault="00391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39126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ԳՄՄՀ-ԳՀԾՁԲ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-26/01-1</w:t>
            </w:r>
            <w:r w:rsidRPr="0039126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 xml:space="preserve">     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35B6A147" w:rsidR="004848A4" w:rsidRPr="00187F0D" w:rsidRDefault="006858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hy-AM"/>
              </w:rPr>
              <w:t>24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hy-AM"/>
              </w:rPr>
              <w:t>02</w:t>
            </w:r>
            <w:r w:rsidR="00F40640" w:rsidRPr="00F40640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  <w:lang w:val="hy-AM"/>
              </w:rPr>
              <w:t>6</w:t>
            </w:r>
            <w:r w:rsidR="00F40640" w:rsidRPr="00F40640">
              <w:rPr>
                <w:b/>
                <w:sz w:val="18"/>
                <w:szCs w:val="18"/>
              </w:rPr>
              <w:t>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372AC0A3" w:rsidR="004848A4" w:rsidRPr="006E4E84" w:rsidRDefault="00F40640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կնքուման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90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DD08F6" w14:textId="77777777" w:rsidR="00391261" w:rsidRPr="00391261" w:rsidRDefault="00391261" w:rsidP="0039126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39126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7 950 000</w:t>
            </w:r>
          </w:p>
          <w:p w14:paraId="6043A549" w14:textId="34C62743" w:rsidR="004848A4" w:rsidRPr="0084520F" w:rsidRDefault="004848A4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D7C20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D7C20" w:rsidRPr="0057022A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409D260" w:rsidR="00BD7C20" w:rsidRPr="006E4E84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ՄԵԼԻՔ ՍՄԲԱՏՅԱՆ ԱՏՈՄԻ Ա/Ձ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22C70F97" w:rsidR="00BD7C20" w:rsidRPr="00823FF3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Հայաստան, Գեղարքունիք</w:t>
            </w:r>
            <w:r w:rsidRPr="00F40640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,</w:t>
            </w:r>
            <w:r w:rsidRPr="007879C9">
              <w:rPr>
                <w:lang w:val="hy-AM"/>
              </w:rPr>
              <w:t xml:space="preserve"> 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Ն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Գետաշեն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Գետափնյա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թղմ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2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փ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տ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49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594B9" w14:textId="77777777" w:rsidR="00BD7C20" w:rsidRPr="0084520F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u w:val="single"/>
                <w:lang w:val="hy-AM"/>
              </w:rPr>
            </w:pPr>
            <w:hyperlink r:id="rId8" w:history="1">
              <w:r w:rsidRPr="0084520F">
                <w:rPr>
                  <w:rStyle w:val="Hyperlink"/>
                  <w:lang w:val="ru-RU"/>
                </w:rPr>
                <w:t>isoyanandranik@yandex.ru</w:t>
              </w:r>
            </w:hyperlink>
          </w:p>
          <w:p w14:paraId="38B75014" w14:textId="77777777" w:rsidR="00BD7C20" w:rsidRPr="00823FF3" w:rsidRDefault="00BD7C20" w:rsidP="00BD7C20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27B1033A" w:rsidR="00BD7C20" w:rsidRPr="00F8399F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76B4977" w:rsidR="00BD7C20" w:rsidRPr="005671C9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2476605325880000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19F62D" w:rsidR="00BD7C20" w:rsidRPr="0084520F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74443873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879C9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879C9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879C9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879C9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879C9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879C9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65C9" w14:textId="77777777" w:rsidR="00421FF9" w:rsidRDefault="00421FF9" w:rsidP="0022631D">
      <w:pPr>
        <w:spacing w:before="0" w:after="0"/>
      </w:pPr>
      <w:r>
        <w:separator/>
      </w:r>
    </w:p>
  </w:endnote>
  <w:endnote w:type="continuationSeparator" w:id="0">
    <w:p w14:paraId="45042B60" w14:textId="77777777" w:rsidR="00421FF9" w:rsidRDefault="00421FF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7B0D" w14:textId="77777777" w:rsidR="00421FF9" w:rsidRDefault="00421FF9" w:rsidP="0022631D">
      <w:pPr>
        <w:spacing w:before="0" w:after="0"/>
      </w:pPr>
      <w:r>
        <w:separator/>
      </w:r>
    </w:p>
  </w:footnote>
  <w:footnote w:type="continuationSeparator" w:id="0">
    <w:p w14:paraId="40DC41A4" w14:textId="77777777" w:rsidR="00421FF9" w:rsidRDefault="00421FF9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4F4B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91261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21FF9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0B6F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16E34"/>
    <w:rsid w:val="006219AB"/>
    <w:rsid w:val="006225F4"/>
    <w:rsid w:val="00646760"/>
    <w:rsid w:val="00661C1E"/>
    <w:rsid w:val="006839EA"/>
    <w:rsid w:val="00684D11"/>
    <w:rsid w:val="0068587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879C9"/>
    <w:rsid w:val="007923C7"/>
    <w:rsid w:val="007A100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376F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A93"/>
    <w:rsid w:val="00BB2515"/>
    <w:rsid w:val="00BB584C"/>
    <w:rsid w:val="00BC16E5"/>
    <w:rsid w:val="00BC7F4E"/>
    <w:rsid w:val="00BD3D4E"/>
    <w:rsid w:val="00BD7C20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andrani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1DDA-E309-44E4-B9F1-5B3384DD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285</cp:revision>
  <cp:lastPrinted>2021-04-06T07:47:00Z</cp:lastPrinted>
  <dcterms:created xsi:type="dcterms:W3CDTF">2021-06-28T12:08:00Z</dcterms:created>
  <dcterms:modified xsi:type="dcterms:W3CDTF">2026-02-26T06:28:00Z</dcterms:modified>
</cp:coreProperties>
</file>