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747458D4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8C324E" w:rsidRPr="008C324E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մարզ, Մարտունի քաղաքի թիվ 4 մանկապարտեզի  բակային հատվածի բարեկարգման և խաղահրապարակների կահավորման</w:t>
      </w:r>
      <w:r w:rsidR="00774DC9" w:rsidRPr="00774DC9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որակի նկատմամբ տեխնիկական հսկողության խորհրդատվական ծառայությունների մատուցման</w:t>
      </w:r>
      <w:r w:rsidR="00126A3E" w:rsidRPr="00774DC9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8C324E" w:rsidRPr="008C324E">
        <w:rPr>
          <w:rFonts w:ascii="GHEA Grapalat" w:eastAsia="Times New Roman" w:hAnsi="GHEA Grapalat"/>
          <w:b/>
          <w:sz w:val="16"/>
          <w:szCs w:val="16"/>
          <w:lang w:val="hy-AM" w:eastAsia="ru-RU"/>
        </w:rPr>
        <w:t>ԳՄՄՀ-ՀԲՄԽԾՁԲ-26/05</w:t>
      </w:r>
      <w:r w:rsidR="00774DC9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05"/>
        <w:gridCol w:w="36"/>
        <w:gridCol w:w="29"/>
        <w:gridCol w:w="785"/>
        <w:gridCol w:w="144"/>
        <w:gridCol w:w="785"/>
        <w:gridCol w:w="190"/>
        <w:gridCol w:w="15"/>
        <w:gridCol w:w="367"/>
        <w:gridCol w:w="342"/>
        <w:gridCol w:w="71"/>
        <w:gridCol w:w="49"/>
        <w:gridCol w:w="611"/>
        <w:gridCol w:w="119"/>
        <w:gridCol w:w="142"/>
        <w:gridCol w:w="516"/>
        <w:gridCol w:w="177"/>
        <w:gridCol w:w="299"/>
        <w:gridCol w:w="33"/>
        <w:gridCol w:w="81"/>
        <w:gridCol w:w="723"/>
        <w:gridCol w:w="187"/>
        <w:gridCol w:w="154"/>
        <w:gridCol w:w="523"/>
        <w:gridCol w:w="209"/>
        <w:gridCol w:w="39"/>
        <w:gridCol w:w="36"/>
        <w:gridCol w:w="600"/>
        <w:gridCol w:w="341"/>
        <w:gridCol w:w="79"/>
        <w:gridCol w:w="35"/>
        <w:gridCol w:w="1304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34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9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74DC9" w:rsidRPr="001746C4" w14:paraId="6CB0AC86" w14:textId="77777777" w:rsidTr="001C3746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774DC9" w:rsidRPr="006E4E84" w:rsidRDefault="00774DC9" w:rsidP="00774D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14:paraId="2721F035" w14:textId="47C5C580" w:rsidR="00774DC9" w:rsidRPr="0095634A" w:rsidRDefault="008C324E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C324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քաղաքի թիվ 4 մանկապարտեզի  բակային հատվածի բարեկարգման և խաղահրապարակների կահավորման   աշխատանքների որակի նկատմամբ տեխնիկական հսկողության խորհրդատվական ծառայություններ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774DC9" w:rsidRPr="006E4E84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774DC9" w:rsidRPr="004B26FB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0026CD9" w:rsidR="00774DC9" w:rsidRP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774DC9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774DC9" w:rsidRPr="00126A3E" w:rsidRDefault="00774DC9" w:rsidP="00774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2401932" w14:textId="0088FE2E" w:rsidR="00774DC9" w:rsidRPr="00774DC9" w:rsidRDefault="008C324E" w:rsidP="00774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24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1,147,900</w:t>
            </w:r>
          </w:p>
        </w:tc>
        <w:tc>
          <w:tcPr>
            <w:tcW w:w="1985" w:type="dxa"/>
            <w:gridSpan w:val="9"/>
            <w:vAlign w:val="center"/>
          </w:tcPr>
          <w:p w14:paraId="1013593A" w14:textId="6DE0C8BB" w:rsidR="00774DC9" w:rsidRPr="001746C4" w:rsidRDefault="008C324E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8C324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քաղաքի թիվ 4 մանկապարտեզի  բակային հատվածի բարեկարգման և խաղահրապարակների կահավորման   աշխատանքների որակի նկատմամբ տեխնիկական հսկողության խորհրդատվական ծառայություններ</w:t>
            </w:r>
          </w:p>
        </w:tc>
        <w:tc>
          <w:tcPr>
            <w:tcW w:w="2359" w:type="dxa"/>
            <w:gridSpan w:val="5"/>
            <w:vAlign w:val="center"/>
          </w:tcPr>
          <w:p w14:paraId="5152B32D" w14:textId="45821EF3" w:rsidR="00774DC9" w:rsidRPr="00774DC9" w:rsidRDefault="008C324E" w:rsidP="00774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8C324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քաղաքի թիվ 4 մանկապարտեզի  բակային հատվածի բարեկարգման և խաղահրապարակների կահավորման   աշխատանքների որակի նկատմամբ տեխնիկական հսկողության խորհրդատվական ծառայություններ</w:t>
            </w:r>
          </w:p>
        </w:tc>
      </w:tr>
      <w:tr w:rsidR="0022631D" w:rsidRPr="008C324E" w14:paraId="4B8BC031" w14:textId="77777777" w:rsidTr="006E4E84">
        <w:trPr>
          <w:trHeight w:val="169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8C324E" w14:paraId="24C3B0CB" w14:textId="77777777" w:rsidTr="006E4E84">
        <w:trPr>
          <w:trHeight w:val="137"/>
        </w:trPr>
        <w:tc>
          <w:tcPr>
            <w:tcW w:w="50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8C324E" w14:paraId="075EEA57" w14:textId="77777777" w:rsidTr="006E4E84">
        <w:trPr>
          <w:trHeight w:val="196"/>
        </w:trPr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EA0A420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8C324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8C324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  <w:r w:rsidR="008C324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6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25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7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9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8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87522A" w14:paraId="521126E1" w14:textId="77777777" w:rsidTr="006E4E84"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Style w:val="1"/>
              <w:tblW w:w="11050" w:type="dxa"/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2250"/>
              <w:gridCol w:w="1620"/>
              <w:gridCol w:w="1620"/>
              <w:gridCol w:w="1440"/>
              <w:gridCol w:w="2770"/>
            </w:tblGrid>
            <w:tr w:rsidR="0087522A" w:rsidRPr="0097451F" w14:paraId="3EF23DC7" w14:textId="77777777" w:rsidTr="0087522A">
              <w:trPr>
                <w:trHeight w:val="413"/>
              </w:trPr>
              <w:tc>
                <w:tcPr>
                  <w:tcW w:w="1350" w:type="dxa"/>
                </w:tcPr>
                <w:p w14:paraId="425CABB7" w14:textId="77777777" w:rsidR="0087522A" w:rsidRPr="00AD7188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en-US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en-US"/>
                    </w:rPr>
                    <w:t>N</w:t>
                  </w:r>
                </w:p>
              </w:tc>
              <w:tc>
                <w:tcPr>
                  <w:tcW w:w="2250" w:type="dxa"/>
                </w:tcPr>
                <w:p w14:paraId="78346CBC" w14:textId="77777777" w:rsidR="0087522A" w:rsidRPr="00AD7188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620" w:type="dxa"/>
                </w:tcPr>
                <w:p w14:paraId="0E3C5FA9" w14:textId="77777777" w:rsidR="0087522A" w:rsidRPr="00AD7188" w:rsidRDefault="0087522A" w:rsidP="0087522A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Նախահաշվային արժեքը</w:t>
                  </w:r>
                </w:p>
                <w:p w14:paraId="3D2E9782" w14:textId="77777777" w:rsidR="0087522A" w:rsidRPr="00AD7188" w:rsidRDefault="0087522A" w:rsidP="0087522A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/թվերով և </w:t>
                  </w: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տառերով/</w:t>
                  </w:r>
                </w:p>
              </w:tc>
              <w:tc>
                <w:tcPr>
                  <w:tcW w:w="1620" w:type="dxa"/>
                </w:tcPr>
                <w:p w14:paraId="3F772A26" w14:textId="77777777" w:rsidR="0087522A" w:rsidRPr="00AD7188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Ինքնարժեք և շահույթ</w:t>
                  </w:r>
                </w:p>
                <w:p w14:paraId="5998B810" w14:textId="77777777" w:rsidR="0087522A" w:rsidRPr="00AD7188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/թվերով և </w:t>
                  </w: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տառերով/</w:t>
                  </w:r>
                </w:p>
              </w:tc>
              <w:tc>
                <w:tcPr>
                  <w:tcW w:w="1440" w:type="dxa"/>
                </w:tcPr>
                <w:p w14:paraId="52DA29DC" w14:textId="77777777" w:rsidR="0087522A" w:rsidRPr="00AD7188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ԱԱՀ</w:t>
                  </w:r>
                </w:p>
                <w:p w14:paraId="1684B3EB" w14:textId="77777777" w:rsidR="0087522A" w:rsidRPr="00AD7188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/թվերով և տառեր</w:t>
                  </w: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ով/</w:t>
                  </w:r>
                </w:p>
              </w:tc>
              <w:tc>
                <w:tcPr>
                  <w:tcW w:w="2770" w:type="dxa"/>
                </w:tcPr>
                <w:p w14:paraId="7BF6ED6C" w14:textId="77777777" w:rsidR="0087522A" w:rsidRPr="00AD7188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Ընդհանուր գինը</w:t>
                  </w:r>
                </w:p>
                <w:p w14:paraId="4AFF4B22" w14:textId="77777777" w:rsidR="0087522A" w:rsidRPr="00AD7188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/թվերով և տառերով/</w:t>
                  </w:r>
                </w:p>
              </w:tc>
            </w:tr>
            <w:tr w:rsidR="0087522A" w:rsidRPr="0087522A" w14:paraId="7B66A7DF" w14:textId="77777777" w:rsidTr="0087522A">
              <w:tc>
                <w:tcPr>
                  <w:tcW w:w="1350" w:type="dxa"/>
                </w:tcPr>
                <w:p w14:paraId="6E38E0BE" w14:textId="77777777" w:rsidR="0087522A" w:rsidRPr="00AD7188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Չափաբաժին 1</w:t>
                  </w:r>
                </w:p>
              </w:tc>
              <w:tc>
                <w:tcPr>
                  <w:tcW w:w="2250" w:type="dxa"/>
                </w:tcPr>
                <w:p w14:paraId="1712D6FB" w14:textId="77777777" w:rsidR="0087522A" w:rsidRPr="00AD7188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620" w:type="dxa"/>
                </w:tcPr>
                <w:p w14:paraId="48CE1BB2" w14:textId="77777777" w:rsidR="0087522A" w:rsidRPr="0087522A" w:rsidRDefault="0087522A" w:rsidP="0087522A">
                  <w:pPr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620" w:type="dxa"/>
                </w:tcPr>
                <w:p w14:paraId="26096491" w14:textId="77777777" w:rsidR="0087522A" w:rsidRPr="0087522A" w:rsidRDefault="0087522A" w:rsidP="0087522A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440" w:type="dxa"/>
                </w:tcPr>
                <w:p w14:paraId="5163CD8A" w14:textId="77777777" w:rsidR="0087522A" w:rsidRPr="0087522A" w:rsidRDefault="0087522A" w:rsidP="0087522A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770" w:type="dxa"/>
                </w:tcPr>
                <w:p w14:paraId="7CD1102E" w14:textId="77777777" w:rsidR="0087522A" w:rsidRPr="0087522A" w:rsidRDefault="0087522A" w:rsidP="0087522A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87522A" w:rsidRPr="0087522A" w14:paraId="5904B50A" w14:textId="77777777" w:rsidTr="0087522A">
              <w:trPr>
                <w:trHeight w:val="323"/>
              </w:trPr>
              <w:tc>
                <w:tcPr>
                  <w:tcW w:w="1350" w:type="dxa"/>
                  <w:vAlign w:val="center"/>
                </w:tcPr>
                <w:p w14:paraId="2C431D42" w14:textId="77777777" w:rsidR="0087522A" w:rsidRPr="0087522A" w:rsidRDefault="0087522A" w:rsidP="0087522A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7522A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</w:t>
                  </w:r>
                </w:p>
              </w:tc>
              <w:tc>
                <w:tcPr>
                  <w:tcW w:w="2250" w:type="dxa"/>
                </w:tcPr>
                <w:p w14:paraId="25C64193" w14:textId="77777777" w:rsidR="0087522A" w:rsidRPr="0087522A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7522A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«ԿՈՓ» ՍՊԸ</w:t>
                  </w:r>
                </w:p>
              </w:tc>
              <w:tc>
                <w:tcPr>
                  <w:tcW w:w="1620" w:type="dxa"/>
                  <w:vMerge w:val="restart"/>
                  <w:vAlign w:val="center"/>
                </w:tcPr>
                <w:p w14:paraId="41CE5AA7" w14:textId="77777777" w:rsidR="0087522A" w:rsidRPr="0087522A" w:rsidRDefault="0087522A" w:rsidP="0087522A">
                  <w:pPr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  <w:r w:rsidRPr="0087522A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1,147,900</w:t>
                  </w:r>
                </w:p>
              </w:tc>
              <w:tc>
                <w:tcPr>
                  <w:tcW w:w="1620" w:type="dxa"/>
                  <w:vAlign w:val="center"/>
                </w:tcPr>
                <w:p w14:paraId="24787FA1" w14:textId="77777777" w:rsidR="0087522A" w:rsidRPr="00AD7188" w:rsidRDefault="0087522A" w:rsidP="008752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895,000</w:t>
                  </w:r>
                </w:p>
              </w:tc>
              <w:tc>
                <w:tcPr>
                  <w:tcW w:w="1440" w:type="dxa"/>
                  <w:vAlign w:val="center"/>
                </w:tcPr>
                <w:p w14:paraId="3DC4F77D" w14:textId="77777777" w:rsidR="0087522A" w:rsidRPr="00AD7188" w:rsidRDefault="0087522A" w:rsidP="008752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-</w:t>
                  </w:r>
                </w:p>
              </w:tc>
              <w:tc>
                <w:tcPr>
                  <w:tcW w:w="2770" w:type="dxa"/>
                  <w:vAlign w:val="center"/>
                </w:tcPr>
                <w:p w14:paraId="4857527F" w14:textId="77777777" w:rsidR="0087522A" w:rsidRPr="00AD7188" w:rsidRDefault="0087522A" w:rsidP="0087522A">
                  <w:pPr>
                    <w:tabs>
                      <w:tab w:val="left" w:pos="301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895,000</w:t>
                  </w:r>
                </w:p>
              </w:tc>
            </w:tr>
            <w:tr w:rsidR="0087522A" w:rsidRPr="0087522A" w14:paraId="1D197AD0" w14:textId="77777777" w:rsidTr="0087522A">
              <w:trPr>
                <w:trHeight w:val="323"/>
              </w:trPr>
              <w:tc>
                <w:tcPr>
                  <w:tcW w:w="1350" w:type="dxa"/>
                  <w:vAlign w:val="center"/>
                </w:tcPr>
                <w:p w14:paraId="24A237D9" w14:textId="77777777" w:rsidR="0087522A" w:rsidRPr="00AD7188" w:rsidRDefault="0087522A" w:rsidP="0087522A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</w:t>
                  </w:r>
                </w:p>
              </w:tc>
              <w:tc>
                <w:tcPr>
                  <w:tcW w:w="2250" w:type="dxa"/>
                </w:tcPr>
                <w:p w14:paraId="7E4532EE" w14:textId="77777777" w:rsidR="0087522A" w:rsidRPr="0087522A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7522A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«ԲՈՒԼԳԱՐՈ ՍՊԸ</w:t>
                  </w:r>
                </w:p>
              </w:tc>
              <w:tc>
                <w:tcPr>
                  <w:tcW w:w="1620" w:type="dxa"/>
                  <w:vMerge/>
                  <w:vAlign w:val="center"/>
                </w:tcPr>
                <w:p w14:paraId="3FBFD005" w14:textId="77777777" w:rsidR="0087522A" w:rsidRPr="0087522A" w:rsidRDefault="0087522A" w:rsidP="0087522A">
                  <w:pPr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C9C1786" w14:textId="77777777" w:rsidR="0087522A" w:rsidRPr="00AD7188" w:rsidRDefault="0087522A" w:rsidP="008752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525,000</w:t>
                  </w:r>
                </w:p>
              </w:tc>
              <w:tc>
                <w:tcPr>
                  <w:tcW w:w="1440" w:type="dxa"/>
                  <w:vAlign w:val="center"/>
                </w:tcPr>
                <w:p w14:paraId="4B3F4300" w14:textId="77777777" w:rsidR="0087522A" w:rsidRPr="00AD7188" w:rsidRDefault="0087522A" w:rsidP="008752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-</w:t>
                  </w:r>
                </w:p>
              </w:tc>
              <w:tc>
                <w:tcPr>
                  <w:tcW w:w="2770" w:type="dxa"/>
                  <w:vAlign w:val="center"/>
                </w:tcPr>
                <w:p w14:paraId="54FA303D" w14:textId="77777777" w:rsidR="0087522A" w:rsidRPr="00AD7188" w:rsidRDefault="0087522A" w:rsidP="0087522A">
                  <w:pPr>
                    <w:tabs>
                      <w:tab w:val="left" w:pos="301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525,000</w:t>
                  </w:r>
                </w:p>
              </w:tc>
            </w:tr>
            <w:tr w:rsidR="0087522A" w:rsidRPr="0087522A" w14:paraId="3970B542" w14:textId="77777777" w:rsidTr="0087522A">
              <w:trPr>
                <w:trHeight w:val="323"/>
              </w:trPr>
              <w:tc>
                <w:tcPr>
                  <w:tcW w:w="1350" w:type="dxa"/>
                  <w:vAlign w:val="center"/>
                </w:tcPr>
                <w:p w14:paraId="7589518E" w14:textId="77777777" w:rsidR="0087522A" w:rsidRPr="00AD7188" w:rsidRDefault="0087522A" w:rsidP="0087522A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3</w:t>
                  </w:r>
                </w:p>
              </w:tc>
              <w:tc>
                <w:tcPr>
                  <w:tcW w:w="2250" w:type="dxa"/>
                </w:tcPr>
                <w:p w14:paraId="300AA62E" w14:textId="77777777" w:rsidR="0087522A" w:rsidRPr="0087522A" w:rsidRDefault="0087522A" w:rsidP="0087522A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7522A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«Վարդ-1» ՍՊԸ</w:t>
                  </w:r>
                </w:p>
              </w:tc>
              <w:tc>
                <w:tcPr>
                  <w:tcW w:w="1620" w:type="dxa"/>
                  <w:vMerge/>
                  <w:vAlign w:val="center"/>
                </w:tcPr>
                <w:p w14:paraId="2395F446" w14:textId="77777777" w:rsidR="0087522A" w:rsidRPr="0087522A" w:rsidRDefault="0087522A" w:rsidP="0087522A">
                  <w:pPr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AC8F8CC" w14:textId="77777777" w:rsidR="0087522A" w:rsidRPr="00AD7188" w:rsidRDefault="0087522A" w:rsidP="008752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582,500</w:t>
                  </w:r>
                </w:p>
              </w:tc>
              <w:tc>
                <w:tcPr>
                  <w:tcW w:w="1440" w:type="dxa"/>
                  <w:vAlign w:val="center"/>
                </w:tcPr>
                <w:p w14:paraId="1AFD7C02" w14:textId="77777777" w:rsidR="0087522A" w:rsidRPr="00AD7188" w:rsidRDefault="0087522A" w:rsidP="008752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116,500</w:t>
                  </w:r>
                </w:p>
              </w:tc>
              <w:tc>
                <w:tcPr>
                  <w:tcW w:w="2770" w:type="dxa"/>
                  <w:vAlign w:val="center"/>
                </w:tcPr>
                <w:p w14:paraId="098B20A9" w14:textId="77777777" w:rsidR="0087522A" w:rsidRPr="00AD7188" w:rsidRDefault="0087522A" w:rsidP="0087522A">
                  <w:pPr>
                    <w:tabs>
                      <w:tab w:val="left" w:pos="301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AD7188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699,000</w:t>
                  </w:r>
                </w:p>
              </w:tc>
            </w:tr>
          </w:tbl>
          <w:p w14:paraId="36A77A72" w14:textId="77777777" w:rsidR="0022631D" w:rsidRPr="0087522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87522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29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BD446C" w:rsidR="0022631D" w:rsidRPr="00183368" w:rsidRDefault="0087522A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13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6F68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B7DB9BB" w:rsidR="0022631D" w:rsidRPr="00183368" w:rsidRDefault="0087522A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23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6F68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15CDBA0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31566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  <w:r w:rsidR="00315665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9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C82E32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6F68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6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081FDA1" w:rsidR="0022631D" w:rsidRPr="00BE60AE" w:rsidRDefault="006F684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b/>
                <w:sz w:val="20"/>
                <w:lang w:val="hy-AM"/>
              </w:rPr>
              <w:t>0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  <w:lang w:val="hy-AM"/>
              </w:rPr>
              <w:t>.0</w:t>
            </w:r>
            <w:r>
              <w:rPr>
                <w:b/>
                <w:sz w:val="20"/>
              </w:rPr>
              <w:t>5</w:t>
            </w:r>
            <w:r>
              <w:rPr>
                <w:b/>
                <w:sz w:val="20"/>
                <w:lang w:val="hy-AM"/>
              </w:rPr>
              <w:t>.202</w:t>
            </w:r>
            <w:r>
              <w:rPr>
                <w:b/>
                <w:sz w:val="20"/>
              </w:rPr>
              <w:t>6</w:t>
            </w:r>
            <w:r w:rsidR="00544087">
              <w:rPr>
                <w:b/>
                <w:sz w:val="20"/>
                <w:lang w:val="hy-AM"/>
              </w:rPr>
              <w:t>թ․</w:t>
            </w:r>
            <w:r w:rsidR="002C3ADE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75CE0F8" w:rsidR="0022631D" w:rsidRPr="006E4E84" w:rsidRDefault="006F684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b/>
                <w:sz w:val="20"/>
                <w:lang w:val="hy-AM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  <w:lang w:val="hy-AM"/>
              </w:rPr>
              <w:t>.0</w:t>
            </w:r>
            <w:r>
              <w:rPr>
                <w:b/>
                <w:sz w:val="20"/>
              </w:rPr>
              <w:t>5</w:t>
            </w:r>
            <w:r>
              <w:rPr>
                <w:b/>
                <w:sz w:val="20"/>
                <w:lang w:val="hy-AM"/>
              </w:rPr>
              <w:t>.202</w:t>
            </w:r>
            <w:r>
              <w:rPr>
                <w:b/>
                <w:sz w:val="20"/>
              </w:rPr>
              <w:t>6</w:t>
            </w:r>
            <w:r w:rsidR="00544087">
              <w:rPr>
                <w:b/>
                <w:sz w:val="20"/>
                <w:lang w:val="hy-AM"/>
              </w:rPr>
              <w:t>թ․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30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7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9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7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73C9C5FD" w:rsidR="004848A4" w:rsidRPr="00D80918" w:rsidRDefault="0015035C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15035C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«ԲՈՒԼԳԱՐՈ ՍՊԸ</w:t>
            </w:r>
          </w:p>
        </w:tc>
        <w:tc>
          <w:tcPr>
            <w:tcW w:w="2728" w:type="dxa"/>
            <w:gridSpan w:val="9"/>
            <w:shd w:val="clear" w:color="auto" w:fill="auto"/>
            <w:vAlign w:val="center"/>
          </w:tcPr>
          <w:p w14:paraId="2183B64C" w14:textId="76D73454" w:rsidR="004848A4" w:rsidRPr="0015035C" w:rsidRDefault="001503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AD718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ԳՄՄՀ-ՀԲՄԽԾՁԲ-26/05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614" w:type="dxa"/>
            <w:gridSpan w:val="6"/>
            <w:shd w:val="clear" w:color="auto" w:fill="auto"/>
          </w:tcPr>
          <w:p w14:paraId="54F54951" w14:textId="0C16803E" w:rsidR="004848A4" w:rsidRPr="00544087" w:rsidRDefault="001503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15035C">
              <w:rPr>
                <w:b/>
                <w:sz w:val="20"/>
                <w:lang w:val="hy-AM"/>
              </w:rPr>
              <w:t>0</w:t>
            </w:r>
            <w:r w:rsidRPr="0015035C">
              <w:rPr>
                <w:b/>
                <w:sz w:val="20"/>
              </w:rPr>
              <w:t>8</w:t>
            </w:r>
            <w:r w:rsidRPr="0015035C">
              <w:rPr>
                <w:b/>
                <w:sz w:val="20"/>
                <w:lang w:val="hy-AM"/>
              </w:rPr>
              <w:t>.0</w:t>
            </w:r>
            <w:r w:rsidRPr="0015035C">
              <w:rPr>
                <w:b/>
                <w:sz w:val="20"/>
              </w:rPr>
              <w:t>5</w:t>
            </w:r>
            <w:r w:rsidRPr="0015035C">
              <w:rPr>
                <w:b/>
                <w:sz w:val="20"/>
                <w:lang w:val="hy-AM"/>
              </w:rPr>
              <w:t>.202</w:t>
            </w:r>
            <w:r w:rsidRPr="0015035C">
              <w:rPr>
                <w:b/>
                <w:sz w:val="20"/>
              </w:rPr>
              <w:t>6</w:t>
            </w:r>
            <w:r w:rsidRPr="0015035C">
              <w:rPr>
                <w:b/>
                <w:sz w:val="20"/>
                <w:lang w:val="hy-AM"/>
              </w:rPr>
              <w:t>թ․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2CFBB382" w:rsidR="004848A4" w:rsidRPr="00544087" w:rsidRDefault="00544087" w:rsidP="007E0754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25.12.2025թ</w:t>
            </w:r>
            <w:r>
              <w:rPr>
                <w:rFonts w:ascii="Times New Roman" w:eastAsia="Times New Roman" w:hAnsi="Times New Roman"/>
                <w:b/>
                <w:sz w:val="16"/>
                <w:szCs w:val="18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0BFB724C" w:rsidR="004848A4" w:rsidRPr="00544087" w:rsidRDefault="00CF03A0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CF03A0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525,000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35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3DCC3F5F" w:rsidR="00F8399F" w:rsidRPr="006E4E84" w:rsidRDefault="0015035C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5035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«ԲՈՒԼԳԱՐՈ ՍՊԸ</w:t>
            </w:r>
          </w:p>
        </w:tc>
        <w:tc>
          <w:tcPr>
            <w:tcW w:w="364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5DCF063F" w:rsidR="00F8399F" w:rsidRPr="00823FF3" w:rsidRDefault="00CF03A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F03A0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ՀՀ, Գեղարքունիքի մարզ, գ. Վ. Գետաշեն, Ա թաղ. 5-րդ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032EE" w14:textId="77777777" w:rsidR="00CF03A0" w:rsidRPr="00AD7188" w:rsidRDefault="00CF03A0" w:rsidP="00CF03A0">
            <w:pPr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Pr="00AD7188">
                <w:rPr>
                  <w:rStyle w:val="Hyperlink"/>
                  <w:rFonts w:ascii="GHEA Grapalat" w:hAnsi="GHEA Grapalat"/>
                  <w:sz w:val="18"/>
                  <w:szCs w:val="18"/>
                </w:rPr>
                <w:t>bulgarollc@yandex.ru</w:t>
              </w:r>
            </w:hyperlink>
          </w:p>
          <w:p w14:paraId="4920FDDF" w14:textId="3A7FB2C4" w:rsidR="00823FF3" w:rsidRPr="00823FF3" w:rsidRDefault="00823FF3" w:rsidP="00823FF3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66D9985" w:rsidR="00F8399F" w:rsidRPr="003016B7" w:rsidRDefault="00536D71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36D7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220193335571000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8419805" w:rsidR="00F8399F" w:rsidRPr="0084520F" w:rsidRDefault="00512EC1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8C1292">
              <w:rPr>
                <w:rFonts w:ascii="GHEA Grapalat" w:hAnsi="GHEA Grapalat"/>
                <w:sz w:val="18"/>
                <w:szCs w:val="18"/>
                <w:lang w:val="hy-AM"/>
              </w:rPr>
              <w:t>08423975</w:t>
            </w:r>
            <w:bookmarkStart w:id="0" w:name="_GoBack"/>
            <w:bookmarkEnd w:id="0"/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8C324E" w14:paraId="5484FA73" w14:textId="77777777" w:rsidTr="006E4E84">
        <w:trPr>
          <w:trHeight w:val="475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8C324E" w14:paraId="5A7FED5D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8C324E" w14:paraId="40B30E88" w14:textId="77777777" w:rsidTr="006E4E84">
        <w:trPr>
          <w:trHeight w:val="427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8C324E" w14:paraId="541BD7F7" w14:textId="77777777" w:rsidTr="006E4E84">
        <w:trPr>
          <w:trHeight w:val="288"/>
        </w:trPr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8C324E" w14:paraId="4DE14D25" w14:textId="77777777" w:rsidTr="006E4E84">
        <w:trPr>
          <w:trHeight w:val="427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8C324E" w14:paraId="1DAD5D5C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35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39575" w14:textId="77777777" w:rsidR="00BC6CFD" w:rsidRDefault="00BC6CFD" w:rsidP="0022631D">
      <w:pPr>
        <w:spacing w:before="0" w:after="0"/>
      </w:pPr>
      <w:r>
        <w:separator/>
      </w:r>
    </w:p>
  </w:endnote>
  <w:endnote w:type="continuationSeparator" w:id="0">
    <w:p w14:paraId="7B87979A" w14:textId="77777777" w:rsidR="00BC6CFD" w:rsidRDefault="00BC6CF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6A9EB" w14:textId="77777777" w:rsidR="00BC6CFD" w:rsidRDefault="00BC6CFD" w:rsidP="0022631D">
      <w:pPr>
        <w:spacing w:before="0" w:after="0"/>
      </w:pPr>
      <w:r>
        <w:separator/>
      </w:r>
    </w:p>
  </w:footnote>
  <w:footnote w:type="continuationSeparator" w:id="0">
    <w:p w14:paraId="22D261C9" w14:textId="77777777" w:rsidR="00BC6CFD" w:rsidRDefault="00BC6CFD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21C7B"/>
    <w:rsid w:val="00032CB8"/>
    <w:rsid w:val="000419E2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5035C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665"/>
    <w:rsid w:val="00315981"/>
    <w:rsid w:val="00335A53"/>
    <w:rsid w:val="00341522"/>
    <w:rsid w:val="003458F9"/>
    <w:rsid w:val="00357807"/>
    <w:rsid w:val="003624E1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12EC1"/>
    <w:rsid w:val="00521A6D"/>
    <w:rsid w:val="0053055B"/>
    <w:rsid w:val="00536D71"/>
    <w:rsid w:val="00544087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7C9A"/>
    <w:rsid w:val="006219AB"/>
    <w:rsid w:val="006225F4"/>
    <w:rsid w:val="00646760"/>
    <w:rsid w:val="00661C1E"/>
    <w:rsid w:val="006839EA"/>
    <w:rsid w:val="00684D11"/>
    <w:rsid w:val="00686EFD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6F684D"/>
    <w:rsid w:val="007060FC"/>
    <w:rsid w:val="00726D73"/>
    <w:rsid w:val="00772F78"/>
    <w:rsid w:val="007732E7"/>
    <w:rsid w:val="00774DC9"/>
    <w:rsid w:val="00777CC8"/>
    <w:rsid w:val="00783E6B"/>
    <w:rsid w:val="0078682E"/>
    <w:rsid w:val="007923C7"/>
    <w:rsid w:val="007A1008"/>
    <w:rsid w:val="007E0754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7522A"/>
    <w:rsid w:val="00882966"/>
    <w:rsid w:val="008B26F4"/>
    <w:rsid w:val="008B3F13"/>
    <w:rsid w:val="008C324E"/>
    <w:rsid w:val="008C4E62"/>
    <w:rsid w:val="008D1C0E"/>
    <w:rsid w:val="008E493A"/>
    <w:rsid w:val="008E6856"/>
    <w:rsid w:val="008F5F4D"/>
    <w:rsid w:val="009142B1"/>
    <w:rsid w:val="00917CEE"/>
    <w:rsid w:val="00942F9C"/>
    <w:rsid w:val="0095634A"/>
    <w:rsid w:val="00964C60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7762B"/>
    <w:rsid w:val="00A77C33"/>
    <w:rsid w:val="00A80991"/>
    <w:rsid w:val="00A83978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6CFD"/>
    <w:rsid w:val="00BC7F4E"/>
    <w:rsid w:val="00BD3D4E"/>
    <w:rsid w:val="00BE60AE"/>
    <w:rsid w:val="00BE6C3E"/>
    <w:rsid w:val="00BF1465"/>
    <w:rsid w:val="00BF4745"/>
    <w:rsid w:val="00C21D19"/>
    <w:rsid w:val="00C24C22"/>
    <w:rsid w:val="00C82E32"/>
    <w:rsid w:val="00C84DF7"/>
    <w:rsid w:val="00C96337"/>
    <w:rsid w:val="00C96BED"/>
    <w:rsid w:val="00CA0F16"/>
    <w:rsid w:val="00CB44D2"/>
    <w:rsid w:val="00CB5336"/>
    <w:rsid w:val="00CC1F23"/>
    <w:rsid w:val="00CF03A0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80918"/>
    <w:rsid w:val="00D80C64"/>
    <w:rsid w:val="00D8324C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lgaroll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E63E-3182-447C-ACBB-BA8F5837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281</cp:revision>
  <cp:lastPrinted>2021-04-06T07:47:00Z</cp:lastPrinted>
  <dcterms:created xsi:type="dcterms:W3CDTF">2021-06-28T12:08:00Z</dcterms:created>
  <dcterms:modified xsi:type="dcterms:W3CDTF">2026-05-12T06:39:00Z</dcterms:modified>
</cp:coreProperties>
</file>