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334B4378" w:rsidR="0022631D" w:rsidRPr="008F6BE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F6B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8F6BE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F6B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161ADC1" w:rsidR="0022631D" w:rsidRPr="002D3A2D" w:rsidRDefault="0089688D" w:rsidP="0089688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af-ZA"/>
        </w:rPr>
        <w:t>Միասնական ս</w:t>
      </w:r>
      <w:r w:rsidRPr="00A21ECB">
        <w:rPr>
          <w:rFonts w:ascii="GHEA Grapalat" w:hAnsi="GHEA Grapalat"/>
          <w:sz w:val="20"/>
          <w:lang w:val="af-ZA"/>
        </w:rPr>
        <w:t>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968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 Երևան, Նալբանդյան </w:t>
      </w:r>
      <w:r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>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="00C636B0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2D3A2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ծրագրային ապահովման սպասարկման </w:t>
      </w:r>
      <w:r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ծառայությունների </w:t>
      </w:r>
      <w:r w:rsidR="0022631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կազմակերպված </w:t>
      </w:r>
      <w:r w:rsidR="000B58F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ՄՍԾ </w:t>
      </w:r>
      <w:r w:rsidR="008F6BE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ՄԱԾՁԲ-26/</w:t>
      </w:r>
      <w:r w:rsidR="003E74D1">
        <w:rPr>
          <w:rFonts w:ascii="GHEA Grapalat" w:eastAsia="Times New Roman" w:hAnsi="GHEA Grapalat" w:cs="Sylfaen"/>
          <w:sz w:val="20"/>
          <w:szCs w:val="20"/>
          <w:lang w:eastAsia="ru-RU"/>
        </w:rPr>
        <w:t>9</w:t>
      </w:r>
      <w:r w:rsidR="00BB5583" w:rsidRPr="00BB558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D3A2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BB5583" w:rsidRDefault="0022631D" w:rsidP="00BB558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60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274"/>
        <w:gridCol w:w="144"/>
        <w:gridCol w:w="785"/>
        <w:gridCol w:w="572"/>
        <w:gridCol w:w="254"/>
        <w:gridCol w:w="88"/>
        <w:gridCol w:w="71"/>
        <w:gridCol w:w="660"/>
        <w:gridCol w:w="863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484"/>
        <w:gridCol w:w="675"/>
        <w:gridCol w:w="34"/>
        <w:gridCol w:w="167"/>
        <w:gridCol w:w="258"/>
        <w:gridCol w:w="1267"/>
        <w:gridCol w:w="794"/>
        <w:gridCol w:w="425"/>
        <w:gridCol w:w="285"/>
        <w:gridCol w:w="2966"/>
      </w:tblGrid>
      <w:tr w:rsidR="0022631D" w:rsidRPr="0022631D" w14:paraId="3BCB0F4A" w14:textId="77777777" w:rsidTr="006D1738">
        <w:trPr>
          <w:trHeight w:val="2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D1738">
        <w:trPr>
          <w:trHeight w:val="2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67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67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D1738">
        <w:trPr>
          <w:trHeight w:val="20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7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D1738">
        <w:trPr>
          <w:trHeight w:val="20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6140DF" w14:paraId="6CB0AC86" w14:textId="77777777" w:rsidTr="006D1738">
        <w:trPr>
          <w:trHeight w:val="2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B53BAFA" w:rsidR="003C1279" w:rsidRPr="0089688D" w:rsidRDefault="003C1279" w:rsidP="003E74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Ծ</w:t>
            </w:r>
            <w:r w:rsidRPr="00E646D1">
              <w:rPr>
                <w:rFonts w:ascii="GHEA Grapalat" w:hAnsi="GHEA Grapalat"/>
                <w:sz w:val="16"/>
                <w:szCs w:val="16"/>
                <w:lang w:val="es-ES"/>
              </w:rPr>
              <w:t xml:space="preserve">րագրային ապահովման 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սպաս</w:t>
            </w:r>
            <w:r w:rsidRPr="00E0179D">
              <w:rPr>
                <w:rFonts w:ascii="GHEA Grapalat" w:hAnsi="GHEA Grapalat"/>
                <w:sz w:val="16"/>
                <w:szCs w:val="16"/>
                <w:lang w:val="es-ES"/>
              </w:rPr>
              <w:t xml:space="preserve">արկման </w:t>
            </w:r>
            <w:r w:rsidRPr="00E646D1">
              <w:rPr>
                <w:rFonts w:ascii="GHEA Grapalat" w:hAnsi="GHEA Grapalat"/>
                <w:sz w:val="16"/>
                <w:szCs w:val="16"/>
                <w:lang w:val="es-ES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A689C02" w:rsidR="003C1279" w:rsidRPr="0089688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9688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1CACA2" w:rsidR="003C1279" w:rsidRPr="0089688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9688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CE024E0" w:rsidR="003C1279" w:rsidRPr="0089688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9688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D80920" w:rsidR="003C1279" w:rsidRPr="003E74D1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F5F5A1" w:rsidR="003C1279" w:rsidRPr="003E74D1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  <w:tc>
          <w:tcPr>
            <w:tcW w:w="36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259BC8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Նախաբան</w:t>
            </w:r>
          </w:p>
          <w:p w14:paraId="55D64B9B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Նախագծի շահառու կողմ է հանդիսանում Միասնական սոցիալական ծառայությունը (այսուհետ՝ Ծառայություն), որը պետք է իրականացնի ՀՀ կենսաթոշակառուների հաշվառման միասնական տեղեկատվական համակարգի (այսուհետ՝ ԷԿՏՀ) հետագա արտադրական շահագործումն ու լրամշակումը:</w:t>
            </w:r>
          </w:p>
          <w:p w14:paraId="191F4E34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ՀՀ քաղաքացիական կենսաթոշակները (բացառությամբ Պետական պաշտոնյաներին նշանակվող կենսաթոշակները և ՀՀ ուժային կառույցների բոլոր տեսակի կենսաթոշակները և նպաստները), ծերության, հաշմանդամության, կերակրողին կորցնելու դեպքում նպաստները, պատվովճարները և պարգևավճարները (այսուհետ՝ կենսաթոշակներ) նշանակվում և վճարվում են ԷԿՏՀ միջոցով։</w:t>
            </w:r>
          </w:p>
          <w:p w14:paraId="6107F303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ԷԿՏՀ-ն կենտրոնացված համակարգ է, որն ապահովում է կենսաթոշակների նշանակման, վճարման գործառույթների (ներառյալ օրենքով սահմանված կարգով վերահաշվարկելը, ստանալու իրավունքը դադարեցնելը և վերականգնելը, վճարելը դադարեցնելը և վերսկսելը, վճարման ցուցակները և անհրաժեշտ ֆինանսական միջոցների հայտ-պահանջագրերի ձևավորելը, կատարված վճարումներն ամփոփելը, փոխադարձ ակտերը հաշվառելը, գրանցելը և այլն) ավտոմատացումը՝ ապահովելով ավտոմատացված այնպիսի որոշումների կայացումը, որոնք քաղաքացու համար առաջացնում են իրավունքներ և պարտականությունները:</w:t>
            </w:r>
          </w:p>
          <w:p w14:paraId="0843B5A2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Այսուհետ, այս փաստաթղթում «Համակարգ» անվանելով կհասկանանք ԷԿՏՀ համակարգը:</w:t>
            </w:r>
          </w:p>
          <w:p w14:paraId="289BAFF1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lastRenderedPageBreak/>
              <w:t>Կենսաթոշակները նշանակվում և վճարվում են հետևյալ ընթացակարգով.</w:t>
            </w:r>
          </w:p>
          <w:p w14:paraId="77B96AD8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1)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շահառուն կամ այլ անձ տարածքային կենտրոնի ընդունարան է ներկայացնում դիմում և համապատասխան փաստաթղթեր կամ Ծառայության առցանց հարթակում լրացնում է դիմում,</w:t>
            </w:r>
          </w:p>
          <w:p w14:paraId="1F44C673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2)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դիմում ընդունող ստորաբաժանումը դիմումը և փաստաթղթերը հաշվառում է Համակարգում, իսկ առցանց դիմումի դեպքում տվյալները ինքնաշխատ եղանակով մուտքագրվում են Համակարգ,</w:t>
            </w:r>
          </w:p>
          <w:p w14:paraId="2C7DE57F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3)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կենսաթոշակ նշանակող ստորաբաժանումները ներկայացված փաստաթղթերի և տվյալների հիման վրա մուտքագրում են համապատասխան տվյալները, որի հիման վրա համակարգը ինքնաշխատ կայացնում է համապատասխան որոշում, որն արտացոլվում է համակարգում,</w:t>
            </w:r>
          </w:p>
          <w:p w14:paraId="74DA0A0E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4)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Ծառայությունը, հիմք ընդունելով մուտքագրված տվյալները (շտեմարանում կատարված փոփոխությունները) սահմանված պարբերականությամբ, ձևավորում է վճարման ցուցակները,</w:t>
            </w:r>
          </w:p>
          <w:p w14:paraId="6BC0C1E1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5)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եթե կենսաթոշակը վճարվում է անկանխիկ եղանակով, ապա վճարման ցուցակները էլեկտրոնային եղանակով փոխանցվում են բանկերին,</w:t>
            </w:r>
          </w:p>
          <w:p w14:paraId="5CDACC3F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6)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եթե կենսաթոշակը վճարվում է կանխիկ եղանակով, ապա վճարման ցուցակները համապատասխան փոխգործելիության հարթակի միջոցով տրամադրվում են «Հայփոստ» ՓԲԸ-ին,</w:t>
            </w:r>
          </w:p>
          <w:p w14:paraId="50DA824C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7)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</w:r>
            <w:proofErr w:type="gramStart"/>
            <w:r w:rsidRPr="002B52AB">
              <w:rPr>
                <w:rFonts w:ascii="GHEA Grapalat" w:hAnsi="GHEA Grapalat" w:cs="Arial"/>
                <w:sz w:val="14"/>
                <w:szCs w:val="20"/>
              </w:rPr>
              <w:t>վճարման</w:t>
            </w:r>
            <w:proofErr w:type="gramEnd"/>
            <w:r w:rsidRPr="002B52AB">
              <w:rPr>
                <w:rFonts w:ascii="GHEA Grapalat" w:hAnsi="GHEA Grapalat" w:cs="Arial"/>
                <w:sz w:val="14"/>
                <w:szCs w:val="20"/>
              </w:rPr>
              <w:t xml:space="preserve"> վերաբերյալ տեղեկատվությունը մուտքագրվում է Համակարգ։</w:t>
            </w:r>
          </w:p>
          <w:p w14:paraId="5B24BEAD" w14:textId="77777777" w:rsidR="003C1279" w:rsidRPr="002B52AB" w:rsidRDefault="003C1279" w:rsidP="003E74D1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Համակարգի միջոցով շուրջ 660000-670000 շահառուի տարեկան բաշխվում է ավելի քան 396</w:t>
            </w:r>
            <w:proofErr w:type="gramStart"/>
            <w:r w:rsidRPr="002B52AB">
              <w:rPr>
                <w:rFonts w:ascii="GHEA Grapalat" w:hAnsi="GHEA Grapalat" w:cs="Arial"/>
                <w:sz w:val="14"/>
                <w:szCs w:val="20"/>
              </w:rPr>
              <w:t>,7</w:t>
            </w:r>
            <w:proofErr w:type="gramEnd"/>
            <w:r w:rsidRPr="002B52AB">
              <w:rPr>
                <w:rFonts w:ascii="GHEA Grapalat" w:hAnsi="GHEA Grapalat" w:cs="Arial"/>
                <w:sz w:val="14"/>
                <w:szCs w:val="20"/>
              </w:rPr>
              <w:t xml:space="preserve"> մլրդ. դրամ։</w:t>
            </w:r>
          </w:p>
          <w:p w14:paraId="046288CC" w14:textId="77777777" w:rsidR="003C1279" w:rsidRPr="002B52AB" w:rsidRDefault="003C1279" w:rsidP="003C1279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Նպատակը</w:t>
            </w:r>
          </w:p>
          <w:p w14:paraId="5326AF02" w14:textId="77777777" w:rsidR="003C1279" w:rsidRPr="002B52AB" w:rsidRDefault="003C1279" w:rsidP="003C1279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Սույն տեխնիկական բնութագրի շրջանակներում նախատեսվում է ապահովել Համակարգի հիմնական տարբերակի լրամշակման համար անհրաժեշտ ծրագրային ապահովման և Համակարգի արտադրական շահագործման ընթացքում ի հայտ եկած խնդիրների լուծման աշխատանքներ:</w:t>
            </w:r>
          </w:p>
          <w:p w14:paraId="1013593A" w14:textId="52D8750F" w:rsidR="003C1279" w:rsidRPr="002B52AB" w:rsidRDefault="003C1279" w:rsidP="003C1279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Նոր օրենքների, օրենսդրական ակտերի, ՀՀ կառավարության որոշումների ի հայտ գալու պարագայում առկա Համակարգի հիմնական տարբերակում պետք է իրականացնել համապատասխան փոփոխություններ:</w:t>
            </w:r>
          </w:p>
        </w:tc>
        <w:tc>
          <w:tcPr>
            <w:tcW w:w="36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61E6AB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lastRenderedPageBreak/>
              <w:t>Նախաբան</w:t>
            </w:r>
          </w:p>
          <w:p w14:paraId="32DB24A9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Նախագծի շահառու կողմ է հանդիսանում Միասնական սոցիալական ծառայությունը (այսուհետ՝ Ծառայություն), որը պետք է իրականացնի ՀՀ կենսաթոշակառուների հաշվառման միասնական տեղեկատվական համակարգի (այսուհետ՝ ԷԿՏՀ) հետագա արտադրական շահագործումն ու լրամշակումը:</w:t>
            </w:r>
          </w:p>
          <w:p w14:paraId="1C1A2882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ՀՀ քաղաքացիական կենսաթոշակները (բացառությամբ Պետական պաշտոնյաներին նշանակվող կենսաթոշակները և ՀՀ ուժային կառույցների բոլոր տեսակի կենսաթոշակները և նպաստները), ծերության, հաշմանդամության, կերակրողին կորցնելու դեպքում նպաստները, պատվովճարները և պարգևավճարները (այսուհետ՝ կենսաթոշակներ) նշանակվում և վճարվում են ԷԿՏՀ միջոցով։</w:t>
            </w:r>
          </w:p>
          <w:p w14:paraId="3290D726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ԷԿՏՀ-ն կենտրոնացված համակարգ է, որն ապահովում է կենսաթոշակների նշանակման, վճարման գործառույթների (ներառյալ օրենքով սահմանված կարգով վերահաշվարկելը, ստանալու իրավունքը դադարեցնելը և վերականգնելը, վճարելը դադարեցնելը և վերսկսելը, վճարման ցուցակները և անհրաժեշտ ֆինանսական միջոցների հայտ-պահանջագրերի ձևավորելը, կատարված վճարումներն ամփոփելը, փոխադարձ ակտերը հաշվառելը, գրանցելը և այլն) ավտոմատացումը՝ ապահովելով ավտոմատացված այնպիսի որոշումների կայացումը, որոնք քաղաքացու համար առաջացնում են իրավունքներ և պարտականությունները:</w:t>
            </w:r>
          </w:p>
          <w:p w14:paraId="799A9110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Այսուհետ, այս փաստաթղթում «Համակարգ» անվանելով կհասկանանք ԷԿՏՀ համակարգը:</w:t>
            </w:r>
          </w:p>
          <w:p w14:paraId="39BBFEDC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lastRenderedPageBreak/>
              <w:t>Կենսաթոշակները նշանակվում և վճարվում են հետևյալ ընթացակարգով.</w:t>
            </w:r>
          </w:p>
          <w:p w14:paraId="7C2D14E9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1)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շահառուն կամ այլ անձ տարածքային կենտրոնի ընդունարան է ներկայացնում դիմում և համապատասխան փաստաթղթեր կամ Ծառայության առցանց հարթակում լրացնում է դիմում,</w:t>
            </w:r>
          </w:p>
          <w:p w14:paraId="68882A6D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2)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դիմում ընդունող ստորաբաժանումը դիմումը և փաստաթղթերը հաշվառում է Համակարգում, իսկ առցանց դիմումի դեպքում տվյալները ինքնաշխատ եղանակով մուտքագրվում են Համակարգ,</w:t>
            </w:r>
          </w:p>
          <w:p w14:paraId="4AD07422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3)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կենսաթոշակ նշանակող ստորաբաժանումները ներկայացված փաստաթղթերի և տվյալների հիման վրա մուտքագրում են համապատասխան տվյալները, որի հիման վրա համակարգը ինքնաշխատ կայացնում է համապատասխան որոշում, որն արտացոլվում է համակարգում,</w:t>
            </w:r>
          </w:p>
          <w:p w14:paraId="3A0422B4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4)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Ծառայությունը, հիմք ընդունելով մուտքագրված տվյալները (շտեմարանում կատարված փոփոխությունները) սահմանված պարբերականությամբ, ձևավորում է վճարման ցուցակները,</w:t>
            </w:r>
          </w:p>
          <w:p w14:paraId="4BB431E0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5)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եթե կենսաթոշակը վճարվում է անկանխիկ եղանակով, ապա վճարման ցուցակները էլեկտրոնային եղանակով փոխանցվում են բանկերին,</w:t>
            </w:r>
          </w:p>
          <w:p w14:paraId="5AEA3A16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6)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  <w:t>եթե կենսաթոշակը վճարվում է կանխիկ եղանակով, ապա վճարման ցուցակները համապատասխան փոխգործելիության հարթակի միջոցով տրամադրվում են «Հայփոստ» ՓԲԸ-ին,</w:t>
            </w:r>
          </w:p>
          <w:p w14:paraId="66C3446B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7)</w:t>
            </w:r>
            <w:r w:rsidRPr="002B52AB">
              <w:rPr>
                <w:rFonts w:ascii="GHEA Grapalat" w:hAnsi="GHEA Grapalat" w:cs="Arial"/>
                <w:sz w:val="14"/>
                <w:szCs w:val="20"/>
              </w:rPr>
              <w:tab/>
            </w:r>
            <w:proofErr w:type="gramStart"/>
            <w:r w:rsidRPr="002B52AB">
              <w:rPr>
                <w:rFonts w:ascii="GHEA Grapalat" w:hAnsi="GHEA Grapalat" w:cs="Arial"/>
                <w:sz w:val="14"/>
                <w:szCs w:val="20"/>
              </w:rPr>
              <w:t>վճարման</w:t>
            </w:r>
            <w:proofErr w:type="gramEnd"/>
            <w:r w:rsidRPr="002B52AB">
              <w:rPr>
                <w:rFonts w:ascii="GHEA Grapalat" w:hAnsi="GHEA Grapalat" w:cs="Arial"/>
                <w:sz w:val="14"/>
                <w:szCs w:val="20"/>
              </w:rPr>
              <w:t xml:space="preserve"> վերաբերյալ տեղեկատվությունը մուտքագրվում է Համակարգ։</w:t>
            </w:r>
          </w:p>
          <w:p w14:paraId="6C24A252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Համակարգի միջոցով շուրջ 660000-670000 շահառուի տարեկան բաշխվում է ավելի քան 396</w:t>
            </w:r>
            <w:proofErr w:type="gramStart"/>
            <w:r w:rsidRPr="002B52AB">
              <w:rPr>
                <w:rFonts w:ascii="GHEA Grapalat" w:hAnsi="GHEA Grapalat" w:cs="Arial"/>
                <w:sz w:val="14"/>
                <w:szCs w:val="20"/>
              </w:rPr>
              <w:t>,7</w:t>
            </w:r>
            <w:proofErr w:type="gramEnd"/>
            <w:r w:rsidRPr="002B52AB">
              <w:rPr>
                <w:rFonts w:ascii="GHEA Grapalat" w:hAnsi="GHEA Grapalat" w:cs="Arial"/>
                <w:sz w:val="14"/>
                <w:szCs w:val="20"/>
              </w:rPr>
              <w:t xml:space="preserve"> մլրդ. դրամ։</w:t>
            </w:r>
          </w:p>
          <w:p w14:paraId="547421BE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Նպատակը</w:t>
            </w:r>
          </w:p>
          <w:p w14:paraId="063F5CE7" w14:textId="77777777" w:rsidR="003C1279" w:rsidRPr="002B52AB" w:rsidRDefault="003C1279" w:rsidP="00D357DF">
            <w:pPr>
              <w:tabs>
                <w:tab w:val="left" w:pos="33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Սույն տեխնիկական բնութագրի շրջանակներում նախատեսվում է ապահովել Համակարգի հիմնական տարբերակի լրամշակման համար անհրաժեշտ ծրագրային ապահովման և Համակարգի արտադրական շահագործման ընթացքում ի հայտ եկած խնդիրների լուծման աշխատանքներ:</w:t>
            </w:r>
          </w:p>
          <w:p w14:paraId="5152B32D" w14:textId="47DBCC74" w:rsidR="003C1279" w:rsidRPr="002B52AB" w:rsidRDefault="003C1279" w:rsidP="00CF78AB">
            <w:pPr>
              <w:tabs>
                <w:tab w:val="left" w:pos="511"/>
              </w:tabs>
              <w:spacing w:before="0" w:after="0"/>
              <w:ind w:left="0" w:firstLine="242"/>
              <w:jc w:val="both"/>
              <w:rPr>
                <w:rFonts w:ascii="GHEA Grapalat" w:hAnsi="GHEA Grapalat" w:cs="Arial"/>
                <w:sz w:val="14"/>
                <w:szCs w:val="20"/>
              </w:rPr>
            </w:pPr>
            <w:r w:rsidRPr="002B52AB">
              <w:rPr>
                <w:rFonts w:ascii="GHEA Grapalat" w:hAnsi="GHEA Grapalat" w:cs="Arial"/>
                <w:sz w:val="14"/>
                <w:szCs w:val="20"/>
              </w:rPr>
              <w:t>Նոր օրենքների, օրենսդրական ակտերի, ՀՀ կառավարության որոշումների ի հայտ գալու պարագայում առկա Համակարգի հիմնական տարբերակում պետք է իրականացնել համապատասխան փոփոխություններ:</w:t>
            </w:r>
          </w:p>
        </w:tc>
      </w:tr>
      <w:tr w:rsidR="003C1279" w:rsidRPr="006140DF" w14:paraId="4B8BC031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451180EC" w14:textId="6C2396D5" w:rsidR="003C1279" w:rsidRPr="00F60642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6140DF" w14:paraId="24C3B0CB" w14:textId="77777777" w:rsidTr="006D1738">
        <w:trPr>
          <w:trHeight w:val="20"/>
        </w:trPr>
        <w:tc>
          <w:tcPr>
            <w:tcW w:w="80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C1279" w:rsidRPr="009A6F65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A6F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A6F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80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55647D8" w:rsidR="003C1279" w:rsidRPr="003E74D1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E74D1">
              <w:rPr>
                <w:rFonts w:ascii="GHEA Grapalat" w:hAnsi="GHEA Grapalat" w:cs="Sylfaen"/>
                <w:sz w:val="16"/>
              </w:rPr>
              <w:t xml:space="preserve">«Գնումների մասին» ՀՀ օրենքի 23-րդ հոդվածի 1-ին մասի 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1</w:t>
            </w:r>
            <w:r w:rsidRPr="003E74D1">
              <w:rPr>
                <w:rFonts w:ascii="GHEA Grapalat" w:hAnsi="GHEA Grapalat" w:cs="Sylfaen"/>
                <w:sz w:val="16"/>
              </w:rPr>
              <w:t>-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ին</w:t>
            </w:r>
            <w:r w:rsidRPr="003E74D1">
              <w:rPr>
                <w:rFonts w:ascii="GHEA Grapalat" w:hAnsi="GHEA Grapalat" w:cs="Sylfaen"/>
                <w:sz w:val="16"/>
              </w:rPr>
              <w:t xml:space="preserve"> կետը, ՀՀ կառավարության  2017 թվականի մայիսի 4-ի </w:t>
            </w:r>
            <w:r w:rsidRPr="003E74D1">
              <w:rPr>
                <w:rFonts w:ascii="GHEA Grapalat" w:hAnsi="GHEA Grapalat" w:cs="Sylfaen"/>
                <w:sz w:val="16"/>
                <w:lang w:val="pt-BR"/>
              </w:rPr>
              <w:t>N</w:t>
            </w:r>
            <w:r w:rsidRPr="003E74D1">
              <w:rPr>
                <w:rFonts w:ascii="GHEA Grapalat" w:hAnsi="GHEA Grapalat" w:cs="Sylfaen"/>
                <w:sz w:val="16"/>
              </w:rPr>
              <w:t xml:space="preserve"> 526-Ն որոշմամբ հաստատված «Գնումների գործընթացի կազմակերպման» կարգի 2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3</w:t>
            </w:r>
            <w:r w:rsidRPr="003E74D1">
              <w:rPr>
                <w:rFonts w:ascii="GHEA Grapalat" w:hAnsi="GHEA Grapalat" w:cs="Sylfaen"/>
                <w:sz w:val="16"/>
              </w:rPr>
              <w:t xml:space="preserve">-րդ կետի 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4</w:t>
            </w:r>
            <w:r w:rsidRPr="003E74D1">
              <w:rPr>
                <w:rFonts w:ascii="GHEA Grapalat" w:hAnsi="GHEA Grapalat" w:cs="Sylfaen"/>
                <w:sz w:val="16"/>
              </w:rPr>
              <w:t>-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րդ</w:t>
            </w:r>
            <w:r w:rsidRPr="003E74D1">
              <w:rPr>
                <w:rFonts w:ascii="GHEA Grapalat" w:hAnsi="GHEA Grapalat" w:cs="Sylfaen"/>
                <w:sz w:val="16"/>
              </w:rPr>
              <w:t xml:space="preserve"> ենթակետի 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15.1-ին</w:t>
            </w:r>
            <w:r w:rsidRPr="003E74D1">
              <w:rPr>
                <w:rFonts w:ascii="GHEA Grapalat" w:hAnsi="GHEA Grapalat" w:cs="Sylfaen"/>
                <w:sz w:val="16"/>
              </w:rPr>
              <w:t xml:space="preserve"> </w:t>
            </w:r>
            <w:r w:rsidRPr="003E74D1">
              <w:rPr>
                <w:rFonts w:ascii="GHEA Grapalat" w:hAnsi="GHEA Grapalat" w:cs="Sylfaen"/>
                <w:sz w:val="16"/>
                <w:lang w:val="hy-AM"/>
              </w:rPr>
              <w:t>կետ</w:t>
            </w:r>
          </w:p>
        </w:tc>
      </w:tr>
      <w:tr w:rsidR="003C1279" w:rsidRPr="006140DF" w14:paraId="075EEA57" w14:textId="77777777" w:rsidTr="006D1738">
        <w:trPr>
          <w:trHeight w:val="20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C1279" w:rsidRPr="009A6F65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22631D" w14:paraId="681596E8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802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6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A6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F56AA53" w:rsidR="003C1279" w:rsidRPr="0022631D" w:rsidRDefault="003C1279" w:rsidP="003C12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25/03/2026թ.</w:t>
            </w:r>
          </w:p>
        </w:tc>
      </w:tr>
      <w:tr w:rsidR="003C1279" w:rsidRPr="0022631D" w14:paraId="199F948A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6EE9B008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9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13FE412E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5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C1279" w:rsidRPr="0022631D" w14:paraId="321D26CF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68E691E2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30B89418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70776DB4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10DC4861" w14:textId="77777777" w:rsidTr="006D1738">
        <w:trPr>
          <w:trHeight w:val="20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707" w:type="dxa"/>
            <w:gridSpan w:val="22"/>
            <w:shd w:val="clear" w:color="auto" w:fill="auto"/>
            <w:vAlign w:val="center"/>
          </w:tcPr>
          <w:p w14:paraId="1FD38684" w14:textId="503FF858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C1279" w:rsidRPr="0022631D" w14:paraId="3FD00E3A" w14:textId="77777777" w:rsidTr="006D1738">
        <w:trPr>
          <w:trHeight w:val="20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8"/>
            <w:vMerge/>
            <w:shd w:val="clear" w:color="auto" w:fill="auto"/>
            <w:vAlign w:val="center"/>
          </w:tcPr>
          <w:p w14:paraId="7835142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27542D69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635EE2F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470" w:type="dxa"/>
            <w:gridSpan w:val="4"/>
            <w:shd w:val="clear" w:color="auto" w:fill="auto"/>
            <w:vAlign w:val="center"/>
          </w:tcPr>
          <w:p w14:paraId="4A371FE9" w14:textId="5329AA6C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3C1279" w:rsidRPr="0022631D" w14:paraId="4DA511EC" w14:textId="77777777" w:rsidTr="006D1738">
        <w:trPr>
          <w:trHeight w:val="20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4629" w:type="dxa"/>
            <w:gridSpan w:val="30"/>
            <w:shd w:val="clear" w:color="auto" w:fill="auto"/>
            <w:vAlign w:val="center"/>
          </w:tcPr>
          <w:p w14:paraId="6ABF72D4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C1279" w:rsidRPr="0022631D" w14:paraId="50825522" w14:textId="77777777" w:rsidTr="006D1738">
        <w:trPr>
          <w:trHeight w:val="20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259F3C98" w14:textId="53A561AE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D3A2D">
              <w:rPr>
                <w:rFonts w:ascii="GHEA Grapalat" w:hAnsi="GHEA Grapalat" w:cs="Sylfaen"/>
                <w:sz w:val="16"/>
                <w:lang w:val="hy-AM"/>
              </w:rPr>
              <w:t>«Կրտսեր Ալեքսանյան և որդիներ» ՍՊԸ</w:t>
            </w: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1D867224" w14:textId="4A553B57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22B8A853" w14:textId="0B49CA0A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D3A2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0" w:type="dxa"/>
            <w:gridSpan w:val="4"/>
            <w:shd w:val="clear" w:color="auto" w:fill="auto"/>
            <w:vAlign w:val="center"/>
          </w:tcPr>
          <w:p w14:paraId="1F59BBB2" w14:textId="192D770A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</w:tr>
      <w:tr w:rsidR="003C1279" w:rsidRPr="0022631D" w14:paraId="700CD07F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10ED060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521126E1" w14:textId="77777777" w:rsidTr="006D1738">
        <w:trPr>
          <w:trHeight w:val="20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1279" w:rsidRPr="0022631D" w14:paraId="552679BF" w14:textId="77777777" w:rsidTr="006D1738">
        <w:trPr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7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C1279" w:rsidRPr="0022631D" w14:paraId="3CA6FABC" w14:textId="77777777" w:rsidTr="006D1738">
        <w:trPr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1279" w:rsidRPr="0022631D" w14:paraId="5E96A1C5" w14:textId="77777777" w:rsidTr="006D1738">
        <w:trPr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443F73EF" w14:textId="77777777" w:rsidTr="006D1738">
        <w:trPr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522ACAFB" w14:textId="77777777" w:rsidTr="006D1738">
        <w:trPr>
          <w:trHeight w:val="20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760" w:type="dxa"/>
            <w:gridSpan w:val="29"/>
            <w:shd w:val="clear" w:color="auto" w:fill="auto"/>
            <w:vAlign w:val="center"/>
          </w:tcPr>
          <w:p w14:paraId="71AB42B3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C1279" w:rsidRPr="0022631D" w14:paraId="617248CD" w14:textId="77777777" w:rsidTr="006D1738">
        <w:trPr>
          <w:trHeight w:val="20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1515C769" w14:textId="77777777" w:rsidTr="006D1738">
        <w:trPr>
          <w:trHeight w:val="20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75EB5A7" w:rsidR="003C1279" w:rsidRPr="0022631D" w:rsidRDefault="003C1279" w:rsidP="003E7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03/04/2026թ</w:t>
            </w:r>
          </w:p>
        </w:tc>
      </w:tr>
      <w:tr w:rsidR="003C1279" w:rsidRPr="0022631D" w14:paraId="71BEA872" w14:textId="77777777" w:rsidTr="006D1738">
        <w:trPr>
          <w:trHeight w:val="20"/>
        </w:trPr>
        <w:tc>
          <w:tcPr>
            <w:tcW w:w="603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C1279" w:rsidRPr="006140DF" w14:paraId="04C80107" w14:textId="77777777" w:rsidTr="006D1738">
        <w:trPr>
          <w:trHeight w:val="20"/>
        </w:trPr>
        <w:tc>
          <w:tcPr>
            <w:tcW w:w="60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C6CAF3" w:rsidR="003C1279" w:rsidRPr="002D3A2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«Գնումների մասին» ՀՀ օրենքի 10-րդ հոդվածի 4-րդ մաս</w:t>
            </w:r>
            <w:r w:rsidRPr="00AC17AE">
              <w:rPr>
                <w:rFonts w:ascii="GHEA Grapalat" w:hAnsi="GHEA Grapalat"/>
                <w:color w:val="000000"/>
                <w:sz w:val="16"/>
                <w:lang w:val="hy-AM"/>
              </w:rPr>
              <w:t>ի 1-ին կետ</w:t>
            </w: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ով սահմանված պայմաններով</w:t>
            </w:r>
            <w:r w:rsidRPr="002D3A2D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` </w:t>
            </w: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2D3A2D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2D3A2D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2D3A2D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D3A2D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</w:p>
        </w:tc>
      </w:tr>
      <w:tr w:rsidR="003C1279" w:rsidRPr="00F8649E" w14:paraId="2254FA5C" w14:textId="77777777" w:rsidTr="006D1738">
        <w:trPr>
          <w:trHeight w:val="20"/>
        </w:trPr>
        <w:tc>
          <w:tcPr>
            <w:tcW w:w="603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976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27F7E91" w:rsidR="003C1279" w:rsidRPr="00F8649E" w:rsidRDefault="003C1279" w:rsidP="003E7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13/04/2026թ</w:t>
            </w:r>
          </w:p>
        </w:tc>
      </w:tr>
      <w:tr w:rsidR="003C1279" w:rsidRPr="0022631D" w14:paraId="3C75DA26" w14:textId="77777777" w:rsidTr="006D1738">
        <w:trPr>
          <w:trHeight w:val="20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0A93C5B" w:rsidR="003C1279" w:rsidRPr="0022631D" w:rsidRDefault="003C1279" w:rsidP="003E7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15/04/2026թ</w:t>
            </w:r>
          </w:p>
        </w:tc>
      </w:tr>
      <w:tr w:rsidR="003C1279" w:rsidRPr="0022631D" w14:paraId="0682C6BE" w14:textId="77777777" w:rsidTr="006D1738">
        <w:trPr>
          <w:trHeight w:val="20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97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5D9B52" w:rsidR="003C1279" w:rsidRPr="0022631D" w:rsidRDefault="003C1279" w:rsidP="003E74D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16/04/2026թ</w:t>
            </w:r>
          </w:p>
        </w:tc>
      </w:tr>
      <w:tr w:rsidR="003C1279" w:rsidRPr="0022631D" w14:paraId="79A64497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620F225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4E4EA255" w14:textId="77777777" w:rsidTr="006D1738">
        <w:trPr>
          <w:trHeight w:val="2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824" w:type="dxa"/>
            <w:gridSpan w:val="28"/>
            <w:shd w:val="clear" w:color="auto" w:fill="auto"/>
            <w:vAlign w:val="center"/>
          </w:tcPr>
          <w:p w14:paraId="0A5086C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C1279" w:rsidRPr="0022631D" w14:paraId="11F19FA1" w14:textId="77777777" w:rsidTr="006D1738">
        <w:trPr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42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737" w:type="dxa"/>
            <w:gridSpan w:val="5"/>
            <w:shd w:val="clear" w:color="auto" w:fill="auto"/>
            <w:vAlign w:val="center"/>
          </w:tcPr>
          <w:p w14:paraId="0911FBB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C1279" w:rsidRPr="0022631D" w14:paraId="4DC53241" w14:textId="77777777" w:rsidTr="006D1738">
        <w:trPr>
          <w:trHeight w:val="20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  <w:vAlign w:val="center"/>
          </w:tcPr>
          <w:p w14:paraId="67FA13F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  <w:vAlign w:val="center"/>
          </w:tcPr>
          <w:p w14:paraId="7FDD9C2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shd w:val="clear" w:color="auto" w:fill="auto"/>
            <w:vAlign w:val="center"/>
          </w:tcPr>
          <w:p w14:paraId="73BBD2A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78CB50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7" w:type="dxa"/>
            <w:gridSpan w:val="5"/>
            <w:shd w:val="clear" w:color="auto" w:fill="auto"/>
            <w:vAlign w:val="center"/>
          </w:tcPr>
          <w:p w14:paraId="3C0959C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C1279" w:rsidRPr="0022631D" w14:paraId="75FDA7D8" w14:textId="77777777" w:rsidTr="006D1738">
        <w:trPr>
          <w:trHeight w:val="20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1279" w:rsidRPr="0022631D" w14:paraId="1E28D31D" w14:textId="77777777" w:rsidTr="006D1738">
        <w:trPr>
          <w:trHeight w:val="20"/>
        </w:trPr>
        <w:tc>
          <w:tcPr>
            <w:tcW w:w="811" w:type="dxa"/>
            <w:shd w:val="clear" w:color="auto" w:fill="auto"/>
            <w:vAlign w:val="center"/>
          </w:tcPr>
          <w:p w14:paraId="1F1D10D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781A632E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A2D">
              <w:rPr>
                <w:rFonts w:ascii="GHEA Grapalat" w:hAnsi="GHEA Grapalat" w:cs="Sylfaen"/>
                <w:sz w:val="16"/>
                <w:lang w:val="hy-AM"/>
              </w:rPr>
              <w:t>«Կրտսեր Ալեքսանյան և որդիներ» ՍՊԸ</w:t>
            </w: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2183B64C" w14:textId="70AFCF4C" w:rsidR="003C1279" w:rsidRPr="002D3A2D" w:rsidRDefault="003C1279" w:rsidP="003E7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D3A2D">
              <w:rPr>
                <w:rFonts w:ascii="GHEA Grapalat" w:hAnsi="GHEA Grapalat" w:cs="Sylfaen"/>
                <w:sz w:val="16"/>
              </w:rPr>
              <w:t>ՄՍԾ</w:t>
            </w:r>
            <w:r w:rsidRPr="002D3A2D">
              <w:rPr>
                <w:rFonts w:ascii="GHEA Grapalat" w:hAnsi="GHEA Grapalat" w:cs="Sylfaen"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16"/>
              </w:rPr>
              <w:t>ՄԱԾՁԲ-26/9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4F54951" w14:textId="1C54614C" w:rsidR="003C1279" w:rsidRPr="0022631D" w:rsidRDefault="003C1279" w:rsidP="003E74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16/04/2026թ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3282BA77" w14:textId="77777777" w:rsidR="003C1279" w:rsidRPr="002D3A2D" w:rsidRDefault="003C1279" w:rsidP="000B58FA">
            <w:pPr>
              <w:spacing w:before="0" w:after="0"/>
              <w:ind w:left="19" w:hanging="19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D3A2D">
              <w:rPr>
                <w:rFonts w:ascii="GHEA Grapalat" w:hAnsi="GHEA Grapalat"/>
                <w:sz w:val="14"/>
                <w:szCs w:val="16"/>
              </w:rPr>
              <w:t>Պայմանագրի</w:t>
            </w:r>
            <w:r w:rsidRPr="002D3A2D">
              <w:rPr>
                <w:rFonts w:ascii="GHEA Grapalat" w:hAnsi="GHEA Grapalat"/>
                <w:sz w:val="14"/>
                <w:szCs w:val="16"/>
                <w:lang w:val="hy-AM"/>
              </w:rPr>
              <w:t xml:space="preserve"> ուժի մեջ մտնելու օրվանից մինչև՝ </w:t>
            </w:r>
          </w:p>
          <w:p w14:paraId="610A7BBF" w14:textId="3A9D24ED" w:rsidR="003C1279" w:rsidRPr="002D3A2D" w:rsidRDefault="003C1279" w:rsidP="003E74D1">
            <w:pPr>
              <w:spacing w:before="0" w:after="0"/>
              <w:ind w:left="19" w:hanging="19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D3A2D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>25</w:t>
            </w:r>
            <w:r w:rsidRPr="002D3A2D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2D3A2D">
              <w:rPr>
                <w:rFonts w:ascii="GHEA Grapalat" w:hAnsi="GHEA Grapalat"/>
                <w:color w:val="000000"/>
                <w:sz w:val="14"/>
                <w:szCs w:val="16"/>
              </w:rPr>
              <w:t>դեկտեմբերի 202</w:t>
            </w:r>
            <w:r>
              <w:rPr>
                <w:rFonts w:ascii="GHEA Grapalat" w:hAnsi="GHEA Grapalat"/>
                <w:color w:val="000000"/>
                <w:sz w:val="14"/>
                <w:szCs w:val="16"/>
              </w:rPr>
              <w:t>6</w:t>
            </w:r>
            <w:r w:rsidRPr="002D3A2D">
              <w:rPr>
                <w:rFonts w:ascii="GHEA Grapalat" w:hAnsi="GHEA Grapalat"/>
                <w:color w:val="000000"/>
                <w:sz w:val="14"/>
                <w:szCs w:val="16"/>
              </w:rPr>
              <w:t>թ.</w:t>
            </w:r>
            <w:r w:rsidRPr="002D3A2D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ներառյալ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A3A27A0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14:paraId="540F0BC7" w14:textId="28F17E80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6043A549" w14:textId="27BA093C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74D1">
              <w:rPr>
                <w:rFonts w:ascii="GHEA Grapalat" w:hAnsi="GHEA Grapalat"/>
                <w:sz w:val="16"/>
                <w:szCs w:val="20"/>
              </w:rPr>
              <w:t>24759400</w:t>
            </w:r>
          </w:p>
        </w:tc>
      </w:tr>
      <w:tr w:rsidR="003C1279" w:rsidRPr="0022631D" w14:paraId="0C60A34E" w14:textId="77777777" w:rsidTr="006D1738">
        <w:trPr>
          <w:trHeight w:val="2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8F7B37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11AC14A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1A1F8C8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0DD1D28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860531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14:paraId="41821094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35C2C73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41E4ED39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7265AE84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C1279" w:rsidRPr="0022631D" w14:paraId="1F657639" w14:textId="77777777" w:rsidTr="006D1738">
        <w:trPr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C1279" w:rsidRPr="00F8649E" w14:paraId="20BC55B9" w14:textId="77777777" w:rsidTr="006D1738">
        <w:trPr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D0E2C9" w:rsidR="003C1279" w:rsidRPr="00F8649E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A2D">
              <w:rPr>
                <w:rFonts w:ascii="GHEA Grapalat" w:hAnsi="GHEA Grapalat" w:cs="Sylfaen"/>
                <w:sz w:val="16"/>
                <w:lang w:val="hy-AM"/>
              </w:rPr>
              <w:t>«Կրտսեր Ալեքսանյան և որդիներ» ՍՊԸ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B1E44" w14:textId="77777777" w:rsidR="003C1279" w:rsidRPr="009A6F65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2D3A2D">
              <w:rPr>
                <w:rFonts w:ascii="GHEA Grapalat" w:hAnsi="GHEA Grapalat" w:cs="Sylfaen"/>
                <w:sz w:val="16"/>
                <w:lang w:val="hy-AM"/>
              </w:rPr>
              <w:t xml:space="preserve">ք. Երևան, Շիրակի փ. 2-րդ օբյեկտ, բն. 28, </w:t>
            </w:r>
          </w:p>
          <w:p w14:paraId="4916BA54" w14:textId="1FE51F13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D3A2D">
              <w:rPr>
                <w:rFonts w:ascii="GHEA Grapalat" w:hAnsi="GHEA Grapalat" w:cs="Sylfaen"/>
                <w:sz w:val="16"/>
                <w:lang w:val="hy-AM"/>
              </w:rPr>
              <w:t xml:space="preserve">հեռ. +37491260363, 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12C675B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9" w:history="1">
              <w:r w:rsidRPr="002D3A2D">
                <w:rPr>
                  <w:rStyle w:val="Hyperlink"/>
                  <w:rFonts w:ascii="GHEA Grapalat" w:hAnsi="GHEA Grapalat" w:cs="Sylfaen"/>
                  <w:sz w:val="16"/>
                  <w:lang w:val="hy-AM"/>
                </w:rPr>
                <w:t>gmaleksanyan@gmail.com</w:t>
              </w:r>
            </w:hyperlink>
          </w:p>
        </w:tc>
        <w:tc>
          <w:tcPr>
            <w:tcW w:w="3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5ED4CF1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163018219838</w:t>
            </w:r>
            <w:bookmarkStart w:id="0" w:name="_GoBack"/>
            <w:bookmarkEnd w:id="0"/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CA80B7" w:rsidR="003C1279" w:rsidRPr="002D3A2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02236157</w:t>
            </w:r>
          </w:p>
        </w:tc>
      </w:tr>
      <w:tr w:rsidR="003C1279" w:rsidRPr="0022631D" w14:paraId="223A7F8C" w14:textId="77777777" w:rsidTr="006D1738">
        <w:trPr>
          <w:trHeight w:val="2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22631D" w14:paraId="496A046D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393BE26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3863A00B" w14:textId="77777777" w:rsidTr="006D1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4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C1279" w:rsidRPr="0022631D" w:rsidRDefault="003C1279" w:rsidP="000B58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C1279" w:rsidRPr="0022631D" w14:paraId="485BF528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60FF974B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E56328" w14:paraId="7DB42300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0AD8E25E" w14:textId="10171A77" w:rsidR="003C1279" w:rsidRPr="00E4188B" w:rsidRDefault="003C1279" w:rsidP="000B58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3C1279" w:rsidRPr="004D078F" w:rsidRDefault="003C1279" w:rsidP="000B58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3C1279" w:rsidRPr="004D078F" w:rsidRDefault="003C1279" w:rsidP="000B58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C1279" w:rsidRPr="004D078F" w:rsidRDefault="003C1279" w:rsidP="000B58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3C1279" w:rsidRPr="004D078F" w:rsidRDefault="003C1279" w:rsidP="000B58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C1279" w:rsidRPr="004D078F" w:rsidRDefault="003C1279" w:rsidP="000B58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C1279" w:rsidRPr="004D078F" w:rsidRDefault="003C1279" w:rsidP="000B58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C1279" w:rsidRPr="004D078F" w:rsidRDefault="003C1279" w:rsidP="000B58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C6D6586" w:rsidR="003C1279" w:rsidRPr="004D078F" w:rsidRDefault="003C1279" w:rsidP="000B58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B5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B52AB" w:rsidRPr="002B5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nelli.melikyan@socservice.am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C1279" w:rsidRPr="00E56328" w14:paraId="3CC8B38C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02AFA8BF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E56328" w14:paraId="5484FA73" w14:textId="77777777" w:rsidTr="006D1738">
        <w:trPr>
          <w:trHeight w:val="20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A7D81C5" w:rsidR="003C1279" w:rsidRPr="006140DF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C1279" w:rsidRPr="00E56328" w14:paraId="5A7FED5D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0C88E28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E56328" w14:paraId="40B30E88" w14:textId="77777777" w:rsidTr="006D1738">
        <w:trPr>
          <w:trHeight w:val="20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9B6797" w:rsidR="003C1279" w:rsidRPr="00F8649E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C1279" w:rsidRPr="00E56328" w14:paraId="541BD7F7" w14:textId="77777777" w:rsidTr="006D1738">
        <w:trPr>
          <w:trHeight w:val="20"/>
        </w:trPr>
        <w:tc>
          <w:tcPr>
            <w:tcW w:w="1600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E56328" w14:paraId="4DE14D25" w14:textId="77777777" w:rsidTr="006D1738">
        <w:trPr>
          <w:trHeight w:val="20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C1279" w:rsidRPr="00E56328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0E1C494" w:rsidR="003C1279" w:rsidRPr="00F8649E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C1279" w:rsidRPr="00E56328" w14:paraId="1DAD5D5C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57597369" w14:textId="77777777" w:rsidR="003C1279" w:rsidRPr="00E56328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1279" w:rsidRPr="0022631D" w14:paraId="5F667D89" w14:textId="77777777" w:rsidTr="006D1738">
        <w:trPr>
          <w:trHeight w:val="20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4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C1279" w:rsidRPr="0022631D" w14:paraId="406B68D6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99CCFF"/>
            <w:vAlign w:val="center"/>
          </w:tcPr>
          <w:p w14:paraId="79EAD146" w14:textId="77777777" w:rsidR="003C1279" w:rsidRPr="0022631D" w:rsidRDefault="003C1279" w:rsidP="000B58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1279" w:rsidRPr="0022631D" w14:paraId="1A2BD291" w14:textId="77777777" w:rsidTr="006D1738">
        <w:trPr>
          <w:trHeight w:val="20"/>
        </w:trPr>
        <w:tc>
          <w:tcPr>
            <w:tcW w:w="16006" w:type="dxa"/>
            <w:gridSpan w:val="33"/>
            <w:shd w:val="clear" w:color="auto" w:fill="auto"/>
            <w:vAlign w:val="center"/>
          </w:tcPr>
          <w:p w14:paraId="73A19DB3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1279" w:rsidRPr="0022631D" w14:paraId="002AF1AD" w14:textId="77777777" w:rsidTr="006D1738">
        <w:trPr>
          <w:trHeight w:val="20"/>
        </w:trPr>
        <w:tc>
          <w:tcPr>
            <w:tcW w:w="4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76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C1279" w:rsidRPr="0022631D" w:rsidRDefault="003C1279" w:rsidP="000B58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C1279" w:rsidRPr="0022631D" w14:paraId="6C6C269C" w14:textId="77777777" w:rsidTr="006D1738">
        <w:trPr>
          <w:trHeight w:val="20"/>
        </w:trPr>
        <w:tc>
          <w:tcPr>
            <w:tcW w:w="4385" w:type="dxa"/>
            <w:gridSpan w:val="8"/>
            <w:shd w:val="clear" w:color="auto" w:fill="auto"/>
            <w:vAlign w:val="center"/>
          </w:tcPr>
          <w:p w14:paraId="0A862370" w14:textId="4D79057B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 Ջանջուղազյան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07CC4D1C" w:rsidR="003C1279" w:rsidRPr="0022631D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636" w:type="dxa"/>
            <w:gridSpan w:val="12"/>
            <w:shd w:val="clear" w:color="auto" w:fill="auto"/>
            <w:vAlign w:val="center"/>
          </w:tcPr>
          <w:p w14:paraId="3C42DEDA" w14:textId="238DFDBA" w:rsidR="003C1279" w:rsidRPr="006140DF" w:rsidRDefault="003C1279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6140DF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416AD">
      <w:pgSz w:w="16840" w:h="11907" w:orient="landscape" w:code="9"/>
      <w:pgMar w:top="562" w:right="550" w:bottom="90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6F71" w14:textId="77777777" w:rsidR="001D00B3" w:rsidRDefault="001D00B3" w:rsidP="0022631D">
      <w:pPr>
        <w:spacing w:before="0" w:after="0"/>
      </w:pPr>
      <w:r>
        <w:separator/>
      </w:r>
    </w:p>
  </w:endnote>
  <w:endnote w:type="continuationSeparator" w:id="0">
    <w:p w14:paraId="0A0FDA2D" w14:textId="77777777" w:rsidR="001D00B3" w:rsidRDefault="001D00B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F1D5C" w14:textId="77777777" w:rsidR="001D00B3" w:rsidRDefault="001D00B3" w:rsidP="0022631D">
      <w:pPr>
        <w:spacing w:before="0" w:after="0"/>
      </w:pPr>
      <w:r>
        <w:separator/>
      </w:r>
    </w:p>
  </w:footnote>
  <w:footnote w:type="continuationSeparator" w:id="0">
    <w:p w14:paraId="40A0F218" w14:textId="77777777" w:rsidR="001D00B3" w:rsidRDefault="001D00B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C1279" w:rsidRPr="002D0BF6" w:rsidRDefault="003C127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C1279" w:rsidRPr="002D0BF6" w:rsidRDefault="003C12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C1279" w:rsidRPr="00871366" w:rsidRDefault="003C127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C1279" w:rsidRPr="002D0BF6" w:rsidRDefault="003C127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C1279" w:rsidRPr="0078682E" w:rsidRDefault="003C12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C1279" w:rsidRPr="0078682E" w:rsidRDefault="003C127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C1279" w:rsidRPr="00005B9C" w:rsidRDefault="003C127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C25"/>
    <w:multiLevelType w:val="hybridMultilevel"/>
    <w:tmpl w:val="9A4CD634"/>
    <w:lvl w:ilvl="0" w:tplc="A71C6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77C8C"/>
    <w:multiLevelType w:val="hybridMultilevel"/>
    <w:tmpl w:val="B776DC2C"/>
    <w:lvl w:ilvl="0" w:tplc="04090011">
      <w:start w:val="1"/>
      <w:numFmt w:val="decimal"/>
      <w:lvlText w:val="%1)"/>
      <w:lvlJc w:val="left"/>
      <w:pPr>
        <w:ind w:left="962" w:hanging="360"/>
      </w:p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265664CB"/>
    <w:multiLevelType w:val="hybridMultilevel"/>
    <w:tmpl w:val="A5182D08"/>
    <w:lvl w:ilvl="0" w:tplc="0409000F">
      <w:start w:val="1"/>
      <w:numFmt w:val="decimal"/>
      <w:lvlText w:val="%1."/>
      <w:lvlJc w:val="left"/>
      <w:pPr>
        <w:ind w:left="962" w:hanging="360"/>
      </w:p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>
    <w:nsid w:val="2B7552CB"/>
    <w:multiLevelType w:val="multilevel"/>
    <w:tmpl w:val="A9383A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40A23D8E"/>
    <w:multiLevelType w:val="hybridMultilevel"/>
    <w:tmpl w:val="8AEA98AC"/>
    <w:lvl w:ilvl="0" w:tplc="0DB43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B25DD"/>
    <w:multiLevelType w:val="hybridMultilevel"/>
    <w:tmpl w:val="7E38C298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608636CB"/>
    <w:multiLevelType w:val="multilevel"/>
    <w:tmpl w:val="B492F80A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Sylfaen" w:hint="default"/>
      </w:rPr>
    </w:lvl>
  </w:abstractNum>
  <w:abstractNum w:abstractNumId="8">
    <w:nsid w:val="69DA107F"/>
    <w:multiLevelType w:val="hybridMultilevel"/>
    <w:tmpl w:val="05FCF5A2"/>
    <w:lvl w:ilvl="0" w:tplc="0409000F">
      <w:start w:val="1"/>
      <w:numFmt w:val="decimal"/>
      <w:lvlText w:val="%1."/>
      <w:lvlJc w:val="left"/>
      <w:pPr>
        <w:ind w:left="962" w:hanging="360"/>
      </w:p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B58FA"/>
    <w:rsid w:val="000E4FF1"/>
    <w:rsid w:val="000F376D"/>
    <w:rsid w:val="001021B0"/>
    <w:rsid w:val="00137B4C"/>
    <w:rsid w:val="00147046"/>
    <w:rsid w:val="0018422F"/>
    <w:rsid w:val="001A1999"/>
    <w:rsid w:val="001C1BE1"/>
    <w:rsid w:val="001D00B3"/>
    <w:rsid w:val="001E0091"/>
    <w:rsid w:val="0022631D"/>
    <w:rsid w:val="00295B92"/>
    <w:rsid w:val="002B52AB"/>
    <w:rsid w:val="002D3A2D"/>
    <w:rsid w:val="002E4E6F"/>
    <w:rsid w:val="002F16CC"/>
    <w:rsid w:val="002F1FEB"/>
    <w:rsid w:val="003428BD"/>
    <w:rsid w:val="00371B1D"/>
    <w:rsid w:val="0038423B"/>
    <w:rsid w:val="003B2758"/>
    <w:rsid w:val="003C1279"/>
    <w:rsid w:val="003E3D40"/>
    <w:rsid w:val="003E6978"/>
    <w:rsid w:val="003E74D1"/>
    <w:rsid w:val="00433E3C"/>
    <w:rsid w:val="00472069"/>
    <w:rsid w:val="00474C2F"/>
    <w:rsid w:val="004764CD"/>
    <w:rsid w:val="004875E0"/>
    <w:rsid w:val="004C7B8F"/>
    <w:rsid w:val="004D078F"/>
    <w:rsid w:val="004E376E"/>
    <w:rsid w:val="00503BCC"/>
    <w:rsid w:val="00546023"/>
    <w:rsid w:val="005737F9"/>
    <w:rsid w:val="005D5FBD"/>
    <w:rsid w:val="00607C9A"/>
    <w:rsid w:val="006140DF"/>
    <w:rsid w:val="00646760"/>
    <w:rsid w:val="00690ECB"/>
    <w:rsid w:val="006A38B4"/>
    <w:rsid w:val="006B2E21"/>
    <w:rsid w:val="006C0266"/>
    <w:rsid w:val="006D1738"/>
    <w:rsid w:val="006E0D92"/>
    <w:rsid w:val="006E1A83"/>
    <w:rsid w:val="006F2779"/>
    <w:rsid w:val="007060FC"/>
    <w:rsid w:val="007416AD"/>
    <w:rsid w:val="007732E7"/>
    <w:rsid w:val="0078682E"/>
    <w:rsid w:val="007E742D"/>
    <w:rsid w:val="0081420B"/>
    <w:rsid w:val="0089688D"/>
    <w:rsid w:val="008C4E62"/>
    <w:rsid w:val="008D399D"/>
    <w:rsid w:val="008E493A"/>
    <w:rsid w:val="008F6BE9"/>
    <w:rsid w:val="00926729"/>
    <w:rsid w:val="00963B82"/>
    <w:rsid w:val="009870B9"/>
    <w:rsid w:val="009A6F65"/>
    <w:rsid w:val="009C5E0F"/>
    <w:rsid w:val="009E75FF"/>
    <w:rsid w:val="009F1964"/>
    <w:rsid w:val="00A306F5"/>
    <w:rsid w:val="00A31820"/>
    <w:rsid w:val="00A64DCA"/>
    <w:rsid w:val="00AA32E4"/>
    <w:rsid w:val="00AC17AE"/>
    <w:rsid w:val="00AD07B9"/>
    <w:rsid w:val="00AD59DC"/>
    <w:rsid w:val="00AD7063"/>
    <w:rsid w:val="00B75762"/>
    <w:rsid w:val="00B91DE2"/>
    <w:rsid w:val="00B94EA2"/>
    <w:rsid w:val="00BA03B0"/>
    <w:rsid w:val="00BB0A93"/>
    <w:rsid w:val="00BB5583"/>
    <w:rsid w:val="00BD3D4E"/>
    <w:rsid w:val="00BF1465"/>
    <w:rsid w:val="00BF4745"/>
    <w:rsid w:val="00C636B0"/>
    <w:rsid w:val="00C77D22"/>
    <w:rsid w:val="00C84DF7"/>
    <w:rsid w:val="00C96337"/>
    <w:rsid w:val="00C96BED"/>
    <w:rsid w:val="00CB44D2"/>
    <w:rsid w:val="00CC1F23"/>
    <w:rsid w:val="00CC4BFF"/>
    <w:rsid w:val="00CF1F70"/>
    <w:rsid w:val="00CF78AB"/>
    <w:rsid w:val="00D350DE"/>
    <w:rsid w:val="00D36189"/>
    <w:rsid w:val="00D80C64"/>
    <w:rsid w:val="00DE06F1"/>
    <w:rsid w:val="00DF154C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0642"/>
    <w:rsid w:val="00F64167"/>
    <w:rsid w:val="00F6673B"/>
    <w:rsid w:val="00F77AAD"/>
    <w:rsid w:val="00F8649E"/>
    <w:rsid w:val="00F916C4"/>
    <w:rsid w:val="00FB097B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,Akapit z listą BS,List Paragraph 1,Paragraphe de liste PBLH,Bullets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,Akapit z listą BS Char,List Paragraph 1 Char,Paragraphe de liste PBLH Char,Bullets Char,List_Paragraph Char,Multilevel para_II Char,References Char,List Paragraph (numbered (a)) Char"/>
    <w:link w:val="ListParagraph"/>
    <w:uiPriority w:val="34"/>
    <w:qFormat/>
    <w:locked/>
    <w:rsid w:val="00F60642"/>
    <w:rPr>
      <w:rFonts w:ascii="Calibri" w:eastAsia="Calibri" w:hAnsi="Calibri" w:cs="Times New Roman"/>
    </w:rPr>
  </w:style>
  <w:style w:type="character" w:styleId="Hyperlink">
    <w:name w:val="Hyperlink"/>
    <w:rsid w:val="002D3A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,Akapit z listą BS,List Paragraph 1,Paragraphe de liste PBLH,Bullets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,Akapit z listą BS Char,List Paragraph 1 Char,Paragraphe de liste PBLH Char,Bullets Char,List_Paragraph Char,Multilevel para_II Char,References Char,List Paragraph (numbered (a)) Char"/>
    <w:link w:val="ListParagraph"/>
    <w:uiPriority w:val="34"/>
    <w:qFormat/>
    <w:locked/>
    <w:rsid w:val="00F60642"/>
    <w:rPr>
      <w:rFonts w:ascii="Calibri" w:eastAsia="Calibri" w:hAnsi="Calibri" w:cs="Times New Roman"/>
    </w:rPr>
  </w:style>
  <w:style w:type="character" w:styleId="Hyperlink">
    <w:name w:val="Hyperlink"/>
    <w:rsid w:val="002D3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maleksan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BBA6-3218-4244-AD02-A0C57DD5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35</cp:revision>
  <cp:lastPrinted>2024-07-01T08:31:00Z</cp:lastPrinted>
  <dcterms:created xsi:type="dcterms:W3CDTF">2021-06-28T12:08:00Z</dcterms:created>
  <dcterms:modified xsi:type="dcterms:W3CDTF">2026-04-16T04:57:00Z</dcterms:modified>
</cp:coreProperties>
</file>