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3345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3345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33451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F1D601D" w14:textId="77777777" w:rsidR="00CB506A" w:rsidRDefault="00CB506A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4FCFD05" w14:textId="77777777" w:rsidR="00CB506A" w:rsidRDefault="00CB506A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ADFD427" w:rsidR="00A82AF8" w:rsidRPr="00A02C01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13AA">
        <w:rPr>
          <w:rFonts w:ascii="GHEA Grapalat" w:hAnsi="GHEA Grapalat"/>
          <w:b w:val="0"/>
          <w:sz w:val="20"/>
          <w:lang w:val="af-ZA"/>
        </w:rPr>
        <w:t xml:space="preserve"> </w:t>
      </w:r>
      <w:r w:rsidR="00FF3E23" w:rsidRPr="00FF3E23">
        <w:rPr>
          <w:rFonts w:ascii="GHEA Grapalat" w:hAnsi="GHEA Grapalat" w:cs="Sylfaen"/>
          <w:i/>
          <w:sz w:val="20"/>
          <w:u w:val="single"/>
          <w:lang w:val="af-ZA"/>
        </w:rPr>
        <w:t>«</w:t>
      </w:r>
      <w:r w:rsidR="00FF3E23" w:rsidRPr="00FF3E23">
        <w:rPr>
          <w:rFonts w:ascii="GHEA Grapalat" w:hAnsi="GHEA Grapalat" w:cs="Sylfaen"/>
          <w:i/>
          <w:sz w:val="20"/>
          <w:u w:val="single"/>
          <w:lang w:val="hy-AM"/>
        </w:rPr>
        <w:t>ՀՀ ԼՄՎՀ ԳՀ</w:t>
      </w:r>
      <w:r w:rsidR="00667064">
        <w:rPr>
          <w:rFonts w:ascii="GHEA Grapalat" w:hAnsi="GHEA Grapalat" w:cs="Sylfaen"/>
          <w:i/>
          <w:sz w:val="20"/>
          <w:u w:val="single"/>
          <w:lang w:val="hy-AM"/>
        </w:rPr>
        <w:t>Ծ</w:t>
      </w:r>
      <w:r w:rsidR="00FF3E23" w:rsidRPr="00FF3E23">
        <w:rPr>
          <w:rFonts w:ascii="GHEA Grapalat" w:hAnsi="GHEA Grapalat" w:cs="Sylfaen"/>
          <w:i/>
          <w:sz w:val="20"/>
          <w:u w:val="single"/>
          <w:lang w:val="af-ZA"/>
        </w:rPr>
        <w:t>ՁԲ</w:t>
      </w:r>
      <w:r w:rsidR="00667064">
        <w:rPr>
          <w:rFonts w:ascii="GHEA Grapalat" w:hAnsi="GHEA Grapalat" w:cs="Sylfaen"/>
          <w:i/>
          <w:sz w:val="20"/>
          <w:u w:val="single"/>
          <w:lang w:val="hy-AM"/>
        </w:rPr>
        <w:t>-25/119</w:t>
      </w:r>
      <w:r w:rsidR="00FF3E23" w:rsidRPr="00FF3E23">
        <w:rPr>
          <w:rFonts w:ascii="GHEA Grapalat" w:hAnsi="GHEA Grapalat" w:cs="Sylfaen"/>
          <w:i/>
          <w:sz w:val="20"/>
          <w:u w:val="single"/>
          <w:lang w:val="af-ZA"/>
        </w:rPr>
        <w:t>»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F2A36AC" w14:textId="77777777" w:rsidR="00647358" w:rsidRDefault="00A02C01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02C01">
        <w:rPr>
          <w:rFonts w:ascii="GHEA Grapalat" w:hAnsi="GHEA Grapalat" w:cs="Sylfaen"/>
          <w:b/>
          <w:sz w:val="20"/>
          <w:u w:val="single"/>
          <w:lang w:val="hy-AM"/>
        </w:rPr>
        <w:t>«Վանաձորի համայնքապետարանի աշխատակազմ» ՀԿՀ-ն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</w:p>
    <w:p w14:paraId="4F3FEF32" w14:textId="62C82F46" w:rsidR="00647358" w:rsidRDefault="0064735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14:paraId="17657CE8" w14:textId="7E12A863" w:rsidR="00FF3E23" w:rsidRPr="00667064" w:rsidRDefault="00A82AF8" w:rsidP="00647358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համար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 համայնքի Բանակի փողոցի հիմնանորոգման նախագծանախահաշվային փաստաթղթերի 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Ա</w:t>
      </w:r>
      <w:r w:rsidR="00667064" w:rsidRPr="00667064">
        <w:rPr>
          <w:rFonts w:ascii="Cambria Math" w:hAnsi="Cambria Math" w:cs="Cambria Math"/>
          <w:b/>
          <w:i/>
          <w:sz w:val="20"/>
          <w:u w:val="single"/>
          <w:lang w:val="af-ZA"/>
        </w:rPr>
        <w:t>․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Մյասնիկյան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փողոցի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հիմնանորոգման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Ա</w:t>
      </w:r>
      <w:r w:rsidR="00667064" w:rsidRPr="00667064">
        <w:rPr>
          <w:rFonts w:ascii="Cambria Math" w:hAnsi="Cambria Math" w:cs="Cambria Math"/>
          <w:b/>
          <w:i/>
          <w:sz w:val="20"/>
          <w:u w:val="single"/>
          <w:lang w:val="af-ZA"/>
        </w:rPr>
        <w:t>․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Շիրակացու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փողոցի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հիմնանորոգման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Բաթումի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փողոցի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հիմնանորոգման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Տարոն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4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թաղամասի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գլխավոր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փողոցի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հիմնանորոգման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Տիգրան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Մեծ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պողոտայի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(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Հայքի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հրապարակից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մինչև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Թումանյան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հրապարակ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)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հիմնանորոգման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Դարպաս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բնակավայրի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գլխավոր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ճանապարհի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հիմնանորոգման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,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և Վանաձոր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համայնքի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Գ</w:t>
      </w:r>
      <w:r w:rsidR="00667064" w:rsidRPr="00667064">
        <w:rPr>
          <w:rFonts w:ascii="Cambria Math" w:hAnsi="Cambria Math" w:cs="Cambria Math"/>
          <w:b/>
          <w:i/>
          <w:sz w:val="20"/>
          <w:u w:val="single"/>
          <w:lang w:val="af-ZA"/>
        </w:rPr>
        <w:t>․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Նարեկացու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փողոց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4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/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3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հողամաս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հասցեում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գտնվող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մանկապարտեզի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շենքի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կառուցման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նախագծանախահաշվային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փաստաթղթերի</w:t>
      </w:r>
      <w:r w:rsidR="00667064" w:rsidRPr="00667064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667064" w:rsidRPr="00667064">
        <w:rPr>
          <w:rFonts w:ascii="GHEA Grapalat" w:hAnsi="GHEA Grapalat"/>
          <w:b/>
          <w:i/>
          <w:sz w:val="20"/>
          <w:u w:val="single"/>
          <w:lang w:val="hy-AM"/>
        </w:rPr>
        <w:t>փորձաքննության ծառայությունների</w:t>
      </w:r>
      <w:r w:rsidR="00667064">
        <w:rPr>
          <w:rFonts w:ascii="GHEA Grapalat" w:hAnsi="GHEA Grapalat"/>
          <w:b/>
          <w:i/>
          <w:sz w:val="20"/>
          <w:u w:val="single"/>
          <w:lang w:val="hy-AM"/>
        </w:rPr>
        <w:t xml:space="preserve"> </w:t>
      </w:r>
      <w:r w:rsidR="00647358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66706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67064">
        <w:rPr>
          <w:rFonts w:ascii="GHEA Grapalat" w:hAnsi="GHEA Grapalat"/>
          <w:b/>
          <w:i/>
          <w:sz w:val="20"/>
          <w:u w:val="single"/>
          <w:lang w:val="af-ZA"/>
        </w:rPr>
        <w:t>«</w:t>
      </w:r>
      <w:r w:rsidR="00667064" w:rsidRPr="000552D4">
        <w:rPr>
          <w:rFonts w:ascii="GHEA Grapalat" w:hAnsi="GHEA Grapalat"/>
          <w:b/>
          <w:i/>
          <w:sz w:val="20"/>
          <w:u w:val="single"/>
          <w:lang w:val="hy-AM"/>
        </w:rPr>
        <w:t>ՀՀ ԼՄՎՀ ԳՀ</w:t>
      </w:r>
      <w:r w:rsidR="00667064">
        <w:rPr>
          <w:rFonts w:ascii="GHEA Grapalat" w:hAnsi="GHEA Grapalat"/>
          <w:b/>
          <w:i/>
          <w:sz w:val="20"/>
          <w:u w:val="single"/>
          <w:lang w:val="af-ZA"/>
        </w:rPr>
        <w:t>Ծ</w:t>
      </w:r>
      <w:r w:rsidR="00667064" w:rsidRPr="000552D4">
        <w:rPr>
          <w:rFonts w:ascii="GHEA Grapalat" w:hAnsi="GHEA Grapalat"/>
          <w:b/>
          <w:i/>
          <w:sz w:val="20"/>
          <w:u w:val="single"/>
          <w:lang w:val="af-ZA"/>
        </w:rPr>
        <w:t>ՁԲ</w:t>
      </w:r>
      <w:r w:rsidR="00667064">
        <w:rPr>
          <w:rFonts w:ascii="GHEA Grapalat" w:hAnsi="GHEA Grapalat"/>
          <w:b/>
          <w:i/>
          <w:sz w:val="20"/>
          <w:u w:val="single"/>
          <w:lang w:val="hy-AM"/>
        </w:rPr>
        <w:t>-25/119</w:t>
      </w:r>
      <w:r w:rsidR="00667064" w:rsidRPr="003A05C8">
        <w:rPr>
          <w:rFonts w:ascii="GHEA Grapalat" w:hAnsi="GHEA Grapalat"/>
          <w:b/>
          <w:i/>
          <w:sz w:val="20"/>
          <w:u w:val="single"/>
          <w:lang w:val="af-ZA"/>
        </w:rPr>
        <w:t>»</w:t>
      </w:r>
      <w:r w:rsidR="00667064">
        <w:rPr>
          <w:rFonts w:ascii="GHEA Grapalat" w:hAnsi="GHEA Grapalat"/>
          <w:b/>
          <w:i/>
          <w:sz w:val="20"/>
          <w:u w:val="single"/>
          <w:lang w:val="hy-AM"/>
        </w:rPr>
        <w:t xml:space="preserve"> </w:t>
      </w:r>
      <w:r w:rsidR="00667064">
        <w:rPr>
          <w:rFonts w:ascii="GHEA Grapalat" w:hAnsi="GHEA Grapalat" w:cs="Sylfaen"/>
          <w:sz w:val="20"/>
          <w:lang w:val="af-ZA"/>
        </w:rPr>
        <w:t>ծածկագրով</w:t>
      </w:r>
    </w:p>
    <w:p w14:paraId="768BE517" w14:textId="582F656C" w:rsidR="00FF3E23" w:rsidRDefault="00FF3E23" w:rsidP="006473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</w:t>
      </w: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5B934219" w14:textId="3034AE49" w:rsidR="00A82AF8" w:rsidRDefault="00FF3E23" w:rsidP="006473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ընթացակարգը չկայացած</w:t>
      </w:r>
      <w:r w:rsidR="00667064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2916"/>
        <w:gridCol w:w="2070"/>
        <w:gridCol w:w="2254"/>
        <w:gridCol w:w="1866"/>
      </w:tblGrid>
      <w:tr w:rsidR="00A82AF8" w:rsidRPr="00667064" w14:paraId="490F87FD" w14:textId="77777777" w:rsidTr="00E13418">
        <w:trPr>
          <w:trHeight w:val="913"/>
          <w:jc w:val="center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14:paraId="3B5BABA6" w14:textId="77777777" w:rsidR="00A82AF8" w:rsidRPr="0033451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46D4CEBB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6D0BA416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72A2DD1F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3451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3451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2D48486F" w14:textId="77777777" w:rsidR="00A82AF8" w:rsidRPr="00334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345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667064" w14:paraId="0260467A" w14:textId="77777777" w:rsidTr="00E13418">
        <w:trPr>
          <w:trHeight w:val="1173"/>
          <w:jc w:val="center"/>
        </w:trPr>
        <w:tc>
          <w:tcPr>
            <w:tcW w:w="139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13AA" w:rsidRPr="00667064" w14:paraId="44947C86" w14:textId="77777777" w:rsidTr="00E13418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427C7722" w14:textId="77777777" w:rsidR="00AA13AA" w:rsidRPr="0033451A" w:rsidRDefault="00AA13AA" w:rsidP="00AA13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5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14:paraId="3BF331C4" w14:textId="7BF9A7F1" w:rsidR="00AA13AA" w:rsidRPr="00DB0E70" w:rsidRDefault="00AA13AA" w:rsidP="00452FA0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452FA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</w:t>
            </w:r>
            <w:r w:rsidR="00667064" w:rsidRPr="00DB0E7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Վանաձոր համայնքի Բանակի փողոցի հիմնանորոգման նախագծանախահաշվային փաստաթղթերի փորձաքննության ծառայության ձեռքբերում</w:t>
            </w:r>
            <w:r w:rsidRPr="00452FA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2070" w:type="dxa"/>
            <w:shd w:val="clear" w:color="auto" w:fill="auto"/>
          </w:tcPr>
          <w:p w14:paraId="0823BD9A" w14:textId="024D81B2" w:rsidR="00452FA0" w:rsidRPr="00FF3E23" w:rsidRDefault="00FF3E23" w:rsidP="00452FA0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7BC8F195" w14:textId="593CAF73" w:rsidR="00AA13AA" w:rsidRPr="00B25AD8" w:rsidRDefault="00AA13AA" w:rsidP="00AA13A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6E8E8F9" w14:textId="77777777" w:rsidR="00AA13AA" w:rsidRPr="00FF3E23" w:rsidRDefault="00AA13AA" w:rsidP="00AA13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A13AA" w:rsidRPr="0033451A" w:rsidRDefault="00AA13AA" w:rsidP="00AA13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A13AA" w:rsidRPr="00667064" w:rsidRDefault="00AA13AA" w:rsidP="00AA13A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A13AA" w:rsidRPr="00667064" w:rsidRDefault="00AA13AA" w:rsidP="00AA13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B9F97EF" w14:textId="25117163" w:rsidR="00AA13AA" w:rsidRPr="00FF3E23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0DC0CBBE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643A3A48" w14:textId="3854F936" w:rsidR="00667064" w:rsidRPr="00667064" w:rsidRDefault="00667064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8DACCED" w14:textId="1542D500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«Վանաձոր համայնքի Ա</w:t>
            </w:r>
            <w:r w:rsidRPr="00DB0E70">
              <w:rPr>
                <w:rFonts w:ascii="Cambria Math" w:hAnsi="Cambria Math" w:cs="Cambria Math"/>
                <w:iCs/>
                <w:sz w:val="18"/>
                <w:szCs w:val="18"/>
                <w:lang w:val="hy-AM"/>
              </w:rPr>
              <w:t>․</w:t>
            </w: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Մյասնիկյան փողոցի հիմնանորոգման նախագծանախահաշվային փաստաթղթերի փորձաքննության ծառ</w:t>
            </w:r>
            <w:bookmarkStart w:id="0" w:name="_GoBack"/>
            <w:bookmarkEnd w:id="0"/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638D7521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6CF461BC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44D357D7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DDBFAC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F3142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65647A1" w14:textId="69E1698C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706DFB3" w14:textId="079AFF06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446578A5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00BB404B" w14:textId="2EE96782" w:rsidR="00667064" w:rsidRPr="00667064" w:rsidRDefault="00667064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A9E2D34" w14:textId="3FF22410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«Վանաձոր համայնքի Ա</w:t>
            </w:r>
            <w:r w:rsidRPr="00DB0E70">
              <w:rPr>
                <w:rFonts w:ascii="Cambria Math" w:hAnsi="Cambria Math" w:cs="Cambria Math"/>
                <w:iCs/>
                <w:sz w:val="18"/>
                <w:szCs w:val="18"/>
                <w:lang w:val="hy-AM"/>
              </w:rPr>
              <w:t>․</w:t>
            </w: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Շիրակացու փողոցի հիմնանորոգման նախագծանախահաշվային փաստաթղթերի փորձաքննության ծառայության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60363084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1138E0F6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9F01FA8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FB327F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CCEA08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E1AFDC4" w14:textId="763B2213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C8639D4" w14:textId="559725B1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3F9BB455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42434C8F" w14:textId="4854F769" w:rsidR="00667064" w:rsidRPr="00667064" w:rsidRDefault="00CB506A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ADCD0D5" w14:textId="475E4318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«Վանաձոր համայնքի Բաթումի փողոցի հիմնանորոգման նախագծանախահաշվային փաստաթղթերի </w:t>
            </w: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lastRenderedPageBreak/>
              <w:t>փորձաքննության ծառայության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228DDBA2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lastRenderedPageBreak/>
              <w:t>-</w:t>
            </w:r>
          </w:p>
          <w:p w14:paraId="74444EC5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72F91A5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F33ED5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BE4DB1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8EE222" w14:textId="1BB750C0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3863B3F" w14:textId="62A19A3C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1E3FD21B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2E61126D" w14:textId="3DDF2A35" w:rsidR="00667064" w:rsidRPr="00667064" w:rsidRDefault="00667064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5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D0CA0DC" w14:textId="0640BBED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«Վանաձոր համայնքի Տարոն 4 թաղամասի գլխավոր փողոցի հիմնանորոգման նախագծանախահաշվային փաստաթղթերի փորձաքննության ծառայության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6CA6CA62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4883F9C7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55AF0298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0357C3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4AA5D0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A1229AD" w14:textId="7FC7EB75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5D59847" w14:textId="33A0F1F9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20A6D104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0D1ACBD0" w14:textId="356306BA" w:rsidR="00667064" w:rsidRPr="00667064" w:rsidRDefault="00667064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809A3F5" w14:textId="7C761C28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«Վանաձոր համայնքի Տիգրան Մեծ պողոտայի (Հայքի հրապարակից մինչև Թումանյան հրապարակ) հիմնանորոգման նախագծանախահաշվային փաստաթղթերի փորձաքննության ծառայության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406FAAB5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04E3CD18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6F4C603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75D15EA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1E8E05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23FB217" w14:textId="043B31C2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09FE1D0" w14:textId="6DF08E14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2C35663E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5CCC8DDD" w14:textId="3305CE62" w:rsidR="00667064" w:rsidRPr="00667064" w:rsidRDefault="00667064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E6B309A" w14:textId="5A23190D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«Վանաձոր համայնքի Դարպաս բնակավայրի գլխավոր ճանապարհի հիմնանորոգման նախագծանախահաշվային փաստաթղթերի փորձաքննության ծառայության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408794B8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61344B33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C612FA3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76D3D0F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4CC2ECF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E35D9C4" w14:textId="482C842E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2EFFFCE" w14:textId="6ED7AF67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  <w:tr w:rsidR="00667064" w:rsidRPr="00667064" w14:paraId="79836EE3" w14:textId="77777777" w:rsidTr="00EB509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14:paraId="1E99C7D6" w14:textId="00CB6404" w:rsidR="00667064" w:rsidRPr="00667064" w:rsidRDefault="00667064" w:rsidP="006670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C9424D4" w14:textId="0F84DE91" w:rsidR="00667064" w:rsidRPr="00452FA0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«Վանաձոր համայնքի Գ</w:t>
            </w:r>
            <w:r w:rsidRPr="00DB0E70">
              <w:rPr>
                <w:rFonts w:ascii="Cambria Math" w:hAnsi="Cambria Math" w:cs="Cambria Math"/>
                <w:iCs/>
                <w:sz w:val="18"/>
                <w:szCs w:val="18"/>
                <w:lang w:val="hy-AM"/>
              </w:rPr>
              <w:t>․</w:t>
            </w:r>
            <w:r w:rsidRPr="00667064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 Նարեկացու փողոց 4/3 հողամաս հասցեում գտնվող մանկապարտեզի շենքի կառուցման նախագծանախահաշվային փաստաթղթերի փորձաքննության ծառայության ձեռքբերում»</w:t>
            </w:r>
          </w:p>
        </w:tc>
        <w:tc>
          <w:tcPr>
            <w:tcW w:w="2070" w:type="dxa"/>
            <w:shd w:val="clear" w:color="auto" w:fill="auto"/>
          </w:tcPr>
          <w:p w14:paraId="6370E253" w14:textId="77777777" w:rsidR="00667064" w:rsidRPr="00FF3E23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-</w:t>
            </w:r>
          </w:p>
          <w:p w14:paraId="2A558274" w14:textId="77777777" w:rsidR="00667064" w:rsidRDefault="00667064" w:rsidP="00667064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7CA7772B" w14:textId="77777777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E23">
              <w:rPr>
                <w:rFonts w:ascii="GHEA Grapalat" w:hAnsi="GHEA Grapalat"/>
                <w:sz w:val="20"/>
                <w:lang w:val="af-ZA"/>
              </w:rPr>
              <w:t>1-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3E2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F3E2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93B7D7" w14:textId="77777777" w:rsidR="00667064" w:rsidRPr="0033451A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51A">
              <w:rPr>
                <w:rFonts w:ascii="GHEA Grapalat" w:hAnsi="GHEA Grapalat"/>
                <w:sz w:val="20"/>
                <w:lang w:val="af-ZA"/>
              </w:rPr>
              <w:t>2-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345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345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007977" w14:textId="77777777" w:rsidR="00667064" w:rsidRPr="00667064" w:rsidRDefault="00667064" w:rsidP="0066706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7A60C7" w14:textId="2A409336" w:rsidR="00667064" w:rsidRPr="00FF3E23" w:rsidRDefault="00667064" w:rsidP="006670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7064">
              <w:rPr>
                <w:rFonts w:ascii="GHEA Grapalat" w:hAnsi="GHEA Grapalat"/>
                <w:sz w:val="20"/>
                <w:lang w:val="af-ZA"/>
              </w:rPr>
              <w:t>4-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670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670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ADF7474" w14:textId="0A5C5550" w:rsidR="00667064" w:rsidRDefault="00667064" w:rsidP="00667064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Հայտեր չեն ներկայացվել։</w:t>
            </w:r>
          </w:p>
        </w:tc>
      </w:tr>
    </w:tbl>
    <w:p w14:paraId="67980ACE" w14:textId="77777777" w:rsidR="007C419A" w:rsidRDefault="007C419A" w:rsidP="0033451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09026C7F" w:rsidR="00A82AF8" w:rsidRPr="00B25AD8" w:rsidRDefault="00A82AF8" w:rsidP="0033451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5AD8">
        <w:rPr>
          <w:rFonts w:ascii="GHEA Grapalat" w:hAnsi="GHEA Grapalat" w:cs="Arial Armenian"/>
          <w:b/>
          <w:sz w:val="20"/>
          <w:lang w:val="hy-AM"/>
        </w:rPr>
        <w:t>*</w:t>
      </w:r>
    </w:p>
    <w:p w14:paraId="785ABAAE" w14:textId="77777777" w:rsidR="00A82AF8" w:rsidRDefault="00A82AF8" w:rsidP="0033451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6C5ED107" w:rsidR="00A82AF8" w:rsidRPr="00A7446E" w:rsidRDefault="00FF3E23" w:rsidP="0033451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sz w:val="20"/>
          <w:u w:val="single"/>
          <w:lang w:val="hy-AM"/>
        </w:rPr>
        <w:t>«</w:t>
      </w:r>
      <w:r w:rsidRPr="000552D4">
        <w:rPr>
          <w:rFonts w:ascii="GHEA Grapalat" w:hAnsi="GHEA Grapalat"/>
          <w:b/>
          <w:i/>
          <w:sz w:val="20"/>
          <w:u w:val="single"/>
          <w:lang w:val="hy-AM"/>
        </w:rPr>
        <w:t>ՀՀ ԼՄՎՀ ԳՀ</w:t>
      </w:r>
      <w:r w:rsidR="00667064">
        <w:rPr>
          <w:rFonts w:ascii="GHEA Grapalat" w:hAnsi="GHEA Grapalat"/>
          <w:b/>
          <w:i/>
          <w:sz w:val="20"/>
          <w:u w:val="single"/>
          <w:lang w:val="hy-AM"/>
        </w:rPr>
        <w:t>Ծ</w:t>
      </w:r>
      <w:r w:rsidRPr="000552D4">
        <w:rPr>
          <w:rFonts w:ascii="GHEA Grapalat" w:hAnsi="GHEA Grapalat"/>
          <w:b/>
          <w:i/>
          <w:sz w:val="20"/>
          <w:u w:val="single"/>
          <w:lang w:val="af-ZA"/>
        </w:rPr>
        <w:t>ՁԲ</w:t>
      </w:r>
      <w:r w:rsidR="00667064">
        <w:rPr>
          <w:rFonts w:ascii="GHEA Grapalat" w:hAnsi="GHEA Grapalat"/>
          <w:b/>
          <w:i/>
          <w:sz w:val="20"/>
          <w:u w:val="single"/>
          <w:lang w:val="hy-AM"/>
        </w:rPr>
        <w:t>-25/119</w:t>
      </w:r>
      <w:r>
        <w:rPr>
          <w:rFonts w:ascii="GHEA Grapalat" w:hAnsi="GHEA Grapalat"/>
          <w:b/>
          <w:i/>
          <w:sz w:val="20"/>
          <w:u w:val="single"/>
          <w:lang w:val="hy-AM"/>
        </w:rPr>
        <w:t>»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A02C01">
        <w:rPr>
          <w:rFonts w:ascii="GHEA Grapalat" w:hAnsi="GHEA Grapalat" w:cs="Sylfaen"/>
          <w:sz w:val="20"/>
          <w:u w:val="single"/>
          <w:lang w:val="hy-AM"/>
        </w:rPr>
        <w:t>Լուսինե Բաղրամյան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36EC392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78F9995B" w:rsidR="00A82AF8" w:rsidRPr="0033451A" w:rsidRDefault="00A82AF8" w:rsidP="0064735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3451A">
        <w:rPr>
          <w:rFonts w:ascii="GHEA Grapalat" w:hAnsi="GHEA Grapalat" w:cs="Sylfaen"/>
          <w:b/>
          <w:sz w:val="20"/>
          <w:lang w:val="af-ZA"/>
        </w:rPr>
        <w:t>Հեռախոս՝</w:t>
      </w:r>
      <w:r w:rsidRPr="0033451A">
        <w:rPr>
          <w:rFonts w:ascii="GHEA Grapalat" w:hAnsi="GHEA Grapalat"/>
          <w:b/>
          <w:sz w:val="20"/>
          <w:lang w:val="af-ZA"/>
        </w:rPr>
        <w:t xml:space="preserve"> </w:t>
      </w:r>
      <w:r w:rsidR="00A02C01" w:rsidRPr="0033451A">
        <w:rPr>
          <w:rFonts w:ascii="GHEA Grapalat" w:hAnsi="GHEA Grapalat"/>
          <w:b/>
          <w:sz w:val="20"/>
          <w:lang w:val="hy-AM"/>
        </w:rPr>
        <w:t>060650369</w:t>
      </w:r>
      <w:r w:rsidRPr="0033451A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52C0DA8B" w:rsidR="00A82AF8" w:rsidRPr="0033451A" w:rsidRDefault="00A82AF8" w:rsidP="00647358">
      <w:pPr>
        <w:spacing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33451A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33451A">
        <w:rPr>
          <w:rFonts w:ascii="GHEA Grapalat" w:hAnsi="GHEA Grapalat"/>
          <w:b/>
          <w:sz w:val="20"/>
          <w:lang w:val="af-ZA"/>
        </w:rPr>
        <w:t xml:space="preserve"> </w:t>
      </w:r>
      <w:r w:rsidR="00C11D37" w:rsidRPr="0033451A">
        <w:rPr>
          <w:rFonts w:ascii="GHEA Grapalat" w:hAnsi="GHEA Grapalat"/>
          <w:b/>
          <w:sz w:val="20"/>
          <w:u w:val="single"/>
          <w:lang w:val="af-ZA"/>
        </w:rPr>
        <w:t>gnumnervanadzor@mail.ru</w:t>
      </w:r>
      <w:r w:rsidRPr="0033451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14:paraId="4487C152" w14:textId="77777777" w:rsidR="00647358" w:rsidRDefault="00A82AF8" w:rsidP="00647358">
      <w:pPr>
        <w:jc w:val="both"/>
        <w:rPr>
          <w:rFonts w:ascii="GHEA Grapalat" w:hAnsi="GHEA Grapalat" w:cs="Sylfaen"/>
          <w:sz w:val="20"/>
          <w:lang w:val="hy-AM"/>
        </w:rPr>
      </w:pPr>
      <w:r w:rsidRPr="0033451A">
        <w:rPr>
          <w:rFonts w:ascii="GHEA Grapalat" w:hAnsi="GHEA Grapalat" w:cs="Sylfaen"/>
          <w:b/>
          <w:sz w:val="20"/>
          <w:lang w:val="af-ZA"/>
        </w:rPr>
        <w:tab/>
      </w:r>
      <w:r w:rsidRPr="0033451A">
        <w:rPr>
          <w:rFonts w:ascii="GHEA Grapalat" w:hAnsi="GHEA Grapalat" w:cs="Sylfaen"/>
          <w:sz w:val="20"/>
          <w:lang w:val="af-ZA"/>
        </w:rPr>
        <w:t>Պատվիրատու</w:t>
      </w:r>
      <w:r w:rsidRPr="0033451A">
        <w:rPr>
          <w:rFonts w:ascii="GHEA Grapalat" w:hAnsi="GHEA Grapalat"/>
          <w:sz w:val="20"/>
          <w:lang w:val="af-ZA"/>
        </w:rPr>
        <w:t xml:space="preserve">` </w:t>
      </w:r>
      <w:r w:rsidR="00F14418" w:rsidRPr="0033451A">
        <w:rPr>
          <w:rFonts w:ascii="GHEA Grapalat" w:hAnsi="GHEA Grapalat" w:cs="Sylfaen"/>
          <w:sz w:val="20"/>
          <w:lang w:val="hy-AM"/>
        </w:rPr>
        <w:t>«Վանաձորի համայնքապետարանի աշխատակազմ» ՀԿՀ</w:t>
      </w:r>
      <w:r w:rsidR="00647358">
        <w:rPr>
          <w:rFonts w:ascii="GHEA Grapalat" w:hAnsi="GHEA Grapalat" w:cs="Sylfaen"/>
          <w:sz w:val="20"/>
          <w:lang w:val="hy-AM"/>
        </w:rPr>
        <w:t>։</w:t>
      </w:r>
    </w:p>
    <w:p w14:paraId="6EF02119" w14:textId="27103D09" w:rsidR="00F14418" w:rsidRPr="0033451A" w:rsidRDefault="00F14418" w:rsidP="00647358">
      <w:pPr>
        <w:jc w:val="both"/>
        <w:rPr>
          <w:rFonts w:ascii="GHEA Grapalat" w:hAnsi="GHEA Grapalat"/>
          <w:sz w:val="20"/>
          <w:lang w:val="hy-AM"/>
        </w:rPr>
      </w:pPr>
      <w:r w:rsidRPr="0033451A">
        <w:rPr>
          <w:rFonts w:ascii="GHEA Grapalat" w:hAnsi="GHEA Grapalat"/>
          <w:sz w:val="20"/>
          <w:lang w:val="hy-AM"/>
        </w:rPr>
        <w:t xml:space="preserve"> </w:t>
      </w:r>
    </w:p>
    <w:p w14:paraId="1AF46D58" w14:textId="350243D5" w:rsidR="00145A12" w:rsidRPr="00A82AF8" w:rsidRDefault="00A82AF8" w:rsidP="00647358">
      <w:pPr>
        <w:pStyle w:val="31"/>
        <w:ind w:firstLine="709"/>
        <w:rPr>
          <w:lang w:val="hy-AM"/>
        </w:rPr>
      </w:pPr>
      <w:r w:rsidRPr="00B25AD8">
        <w:rPr>
          <w:rFonts w:ascii="GHEA Grapalat" w:hAnsi="GHEA Grapalat"/>
          <w:sz w:val="16"/>
          <w:szCs w:val="16"/>
          <w:lang w:val="hy-AM"/>
        </w:rPr>
        <w:t xml:space="preserve">*Նախադասությունը հանվում է հայտարարությունից, եթե առկա չէ </w:t>
      </w:r>
      <w:r w:rsidRPr="00B25AD8">
        <w:rPr>
          <w:rFonts w:ascii="GHEA Grapalat" w:hAnsi="GHEA Grapalat"/>
          <w:sz w:val="16"/>
          <w:szCs w:val="16"/>
          <w:lang w:val="af-ZA"/>
        </w:rPr>
        <w:t>“</w:t>
      </w:r>
      <w:r w:rsidRPr="00B25AD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B25AD8">
        <w:rPr>
          <w:rFonts w:ascii="GHEA Grapalat" w:hAnsi="GHEA Grapalat" w:cs="Sylfaen"/>
          <w:sz w:val="16"/>
          <w:szCs w:val="16"/>
          <w:lang w:val="af-ZA"/>
        </w:rPr>
        <w:t>ՀՀ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B25AD8">
        <w:rPr>
          <w:rFonts w:ascii="GHEA Grapalat" w:hAnsi="GHEA Grapalat" w:cs="Sylfaen"/>
          <w:sz w:val="16"/>
          <w:szCs w:val="16"/>
          <w:lang w:val="af-ZA"/>
        </w:rPr>
        <w:t>րդ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B25A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25AD8">
        <w:rPr>
          <w:rFonts w:ascii="GHEA Grapalat" w:hAnsi="GHEA Grapalat"/>
          <w:sz w:val="16"/>
          <w:szCs w:val="16"/>
          <w:lang w:val="hy-AM"/>
        </w:rPr>
        <w:t>4-րդ մասի 2-րդ կետով նախատեսված հանգամանքը։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31036" w14:textId="77777777" w:rsidR="00F73D8C" w:rsidRDefault="00F73D8C">
      <w:r>
        <w:separator/>
      </w:r>
    </w:p>
  </w:endnote>
  <w:endnote w:type="continuationSeparator" w:id="0">
    <w:p w14:paraId="261E2987" w14:textId="77777777" w:rsidR="00F73D8C" w:rsidRDefault="00F7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73D8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73D8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6F963" w14:textId="77777777" w:rsidR="00F73D8C" w:rsidRDefault="00F73D8C">
      <w:r>
        <w:separator/>
      </w:r>
    </w:p>
  </w:footnote>
  <w:footnote w:type="continuationSeparator" w:id="0">
    <w:p w14:paraId="1BC81246" w14:textId="77777777" w:rsidR="00F73D8C" w:rsidRDefault="00F73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3451A"/>
    <w:rsid w:val="003F17D6"/>
    <w:rsid w:val="00452FA0"/>
    <w:rsid w:val="00485B0E"/>
    <w:rsid w:val="0058767D"/>
    <w:rsid w:val="0064248B"/>
    <w:rsid w:val="00647358"/>
    <w:rsid w:val="00665AFA"/>
    <w:rsid w:val="00667064"/>
    <w:rsid w:val="00782D22"/>
    <w:rsid w:val="007C419A"/>
    <w:rsid w:val="00923DAF"/>
    <w:rsid w:val="00A02C01"/>
    <w:rsid w:val="00A82AF8"/>
    <w:rsid w:val="00AA13AA"/>
    <w:rsid w:val="00B25AD8"/>
    <w:rsid w:val="00B30EAC"/>
    <w:rsid w:val="00BA09B3"/>
    <w:rsid w:val="00C11D37"/>
    <w:rsid w:val="00CB506A"/>
    <w:rsid w:val="00CD5426"/>
    <w:rsid w:val="00D55C33"/>
    <w:rsid w:val="00DB0E70"/>
    <w:rsid w:val="00E13418"/>
    <w:rsid w:val="00E93975"/>
    <w:rsid w:val="00EB7F83"/>
    <w:rsid w:val="00F14418"/>
    <w:rsid w:val="00F73D8C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nhideWhenUsed/>
    <w:rsid w:val="00A02C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45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4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cp:lastPrinted>2024-09-27T11:15:00Z</cp:lastPrinted>
  <dcterms:created xsi:type="dcterms:W3CDTF">2022-05-30T17:04:00Z</dcterms:created>
  <dcterms:modified xsi:type="dcterms:W3CDTF">2025-11-20T13:02:00Z</dcterms:modified>
</cp:coreProperties>
</file>