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ОБЪЯВЛЕНИЕ</w:t>
      </w:r>
    </w:p>
    <w:p>
      <w:pPr>
        <w:spacing w:before="0" w:after="0"/>
        <w:jc w:val="center"/>
        <w:rPr>
          <w:rFonts w:ascii="GHEA Grapalat" w:hAnsi="GHEA Grapalat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>о заключенном договоре</w:t>
      </w:r>
    </w:p>
    <w:p>
      <w:pPr>
        <w:spacing w:before="0" w:after="0"/>
        <w:jc w:val="center"/>
        <w:rPr>
          <w:rFonts w:ascii="GHEA Grapalat" w:hAnsi="GHEA Grapalat" w:cs="Sylfaen"/>
          <w:b/>
          <w:szCs w:val="24"/>
          <w:lang w:val="af-ZA"/>
        </w:rPr>
      </w:pPr>
    </w:p>
    <w:p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Պ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ատվիրատուն՝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աշխատանքի և սոցիալական հարցերի նախարարությունը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ք.Երևան, Կառավարական տուն 3 հասցեում,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 կարիքների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համար լ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ուսանկարչական ծառայությունների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 ԱՍՀՆ-ԳՀԾՁԲ-24/5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p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Вышестоящий заказчик, Министерство труда и социальных дел Республики Армения, расположенный по адресу: Дом правительства, 3, Ереван, представляет следующие документы в результате закупочной процедуры с кодом ԱՍՀՆ-ԳՀԾՁԲ-24/5, организованной для закупка Фотосервис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для нужд․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65"/>
        <w:gridCol w:w="25"/>
        <w:gridCol w:w="965"/>
        <w:gridCol w:w="1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Предмет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закупки</w:t>
            </w:r>
            <w:proofErr w:type="spellEnd"/>
          </w:p>
        </w:tc>
      </w:tr>
      <w:tr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</w:tc>
        <w:tc>
          <w:tcPr>
            <w:tcW w:w="1538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единица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измерения</w:t>
            </w:r>
            <w:proofErr w:type="spellEnd"/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  <w: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количество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сметная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краткое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описание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техническая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характеристика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краткое описание (техническая характеристика), предусмотренное по договору</w:t>
            </w:r>
          </w:p>
        </w:tc>
      </w:tr>
      <w:tr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38" w:type="dxa"/>
            <w:gridSpan w:val="4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4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по имеющимся финансовым средствам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 /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2230"/>
        </w:trPr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79961100/501</w:t>
            </w:r>
          </w:p>
          <w:p>
            <w:pPr>
              <w:ind w:left="346" w:hanging="180"/>
              <w:jc w:val="center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Լուսանկարչական ծառայություններ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6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1118000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48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Լուսանկարչական ծառայության վերջնական արդյունքը թվային լուսանկարն է, որն անցնում է համապատասխան մշակում մատակարարի կողմից: Լուսանկարահանումը պետք է իրականացվի թվային ֆոտոխցիկով, լուսանկարների որակը պետք է համապատասխանեն առնվազն Canon EOS RP,  Canon EOS R, Canon EOS R5, Canon EOS R6, Sony A7 R IV, Sony A7 IV, Sony A7 III, Sony A7 S, Sony A7 S II, Sony A7 S III տեսակներից որևէ մեկին: Լուսանկարները պատվիրատուին պետք է փոխանցվեն JPEG ֆորմատով՝ էլեկտրոնային եղանակով, վերամշակված տարբերակով՝ յուրաքանչյուր միջոցառումից հետո (աշխատանքային 2 ժամվա ընթացքում)։</w:t>
            </w:r>
          </w:p>
          <w:p>
            <w:pPr>
              <w:ind w:left="48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Լուսանկարիչը պետք է իրականացնի համապատասխան լուսանկարչական ծառայությունը Պատվիրատուի կողմից նախապես ծանուցվելով ոչ ուշ, քան ծառայությունը մատուցելուց 3 ժամ առաջ: Պահանջվում է պաշտոնական հանդիպումների լուսանկարահանման առնվազն հինգ տարվա աշխատանքային փորձ։ </w:t>
            </w:r>
            <w:r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Իրականացվող աշխատանքների շրջանակում ամսվա ընթացքում մի քանի անգամ նախատեսվում են մարզային այցեր ևս, որի ընթացքում լուսանկարիչը  պետք է Տեղեկատվության և հասարակայնության հետ կապերի բաժնի մասնագետների հետ ներկա գտնվի միջոցառումների ողջ ընթացքում։ Լուսանկարահանումը իրականացվում են և՛ նախարարության տարածքում տեղի ունեցած միջոցառումների ժամանակ, և՛ նախարարության տարածքից դուրս (հանդիպումներ, այցեր, միջոցառումներ)։</w:t>
            </w:r>
          </w:p>
          <w:p>
            <w:pPr>
              <w:ind w:left="48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Լուսանկարչական ծառայություններ մատուցողը պետք է պատրաստ լինի, ըստ անհրաժեշտության, իր տեղափոխումը միջոցառումների վայր կազմակերպել ինքնուրույն՝ ոչ Պատվիրատուի կողմից։</w:t>
            </w:r>
          </w:p>
          <w:p>
            <w:pPr>
              <w:ind w:left="48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Լուսանկարների թիվը՝ առնվազն 947 լուսանկար։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-58" w:firstLine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Լուսանկարչական ծառայության վերջնական արդյունքը թվային լուսանկարն է, որն անցնում է համապատասխան մշակում մատակարարի կողմից: Լուսանկարահանումը պետք է իրականացվի թվային ֆոտոխցիկով, լուսանկարների որակը պետք է համապատասխանեն առնվազն Canon EOS RP,  Canon EOS R, Canon EOS R5, Canon EOS R6, Sony A7 R IV, Sony A7 IV, Sony A7 III, Sony A7 S, Sony A7 S II, Sony A7 S III տեսակներից որևէ մեկին: Լուսանկարները պատվիրատուին պետք է փոխանցվեն JPEG ֆորմատով՝ էլեկտրոնային եղանակով, վերամշակված տարբերակով՝ յուրաքանչյուր միջոցառումից հետո (աշխատանքային 2 ժամվա ընթացքում)։</w:t>
            </w:r>
          </w:p>
          <w:p>
            <w:pPr>
              <w:ind w:left="-58" w:firstLine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Լուսանկարիչը պետք է իրականացնի համապատասխան լուսանկարչական ծառայությունը Պատվիրատուի կողմից նախապես ծանուցվելով ոչ ուշ, քան ծառայությունը մատուցելուց 3 ժամ առաջ: Պահանջվում է պաշտոնական հանդիպումների լուսանկարահանման առնվազն հինգ տարվա աշխատանքային փորձ։ Իրականացվող աշխատանքների շրջանակում ամսվա </w:t>
            </w:r>
            <w:r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ընթացքում մի քանի անգամ նախատեսվում են մարզային այցեր ևս, որի ընթացքում լուսանկարիչը  պետք է Տեղեկատվության և հասարակայնության հետ կապերի բաժնի մասնագետների հետ ներկա գտնվի միջոցառումների ողջ ընթացքում։ Լուսանկարահանումը իրականացվում են և՛ նախարարության տարածքում տեղի ունեցած միջոցառումների ժամանակ, և՛ նախարարության տարածքից դուրս (հանդիպումներ, այցեր, միջոցառումներ)։</w:t>
            </w:r>
          </w:p>
          <w:p>
            <w:pPr>
              <w:ind w:left="-58" w:firstLine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Լուսանկարչական ծառայություններ մատուցողը պետք է պատրաստ լինի, ըստ անհրաժեշտության, իր տեղափոխումը միջոցառումների վայր կազմակերպել ինքնուրույն՝ ոչ Պատվիրատուի կողմից։</w:t>
            </w:r>
          </w:p>
          <w:p>
            <w:pPr>
              <w:ind w:left="-58" w:firstLine="0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Լուսանկարների թիվը՝ առնվազն 947 լուսանկար։</w:t>
            </w:r>
          </w:p>
        </w:tc>
      </w:tr>
      <w:tr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790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Էլեկտրոնային աճուրդի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CPV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կոդերում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չէր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։Գնումների մասին օրենքի 22-րդ հոդվածի համապատասխան։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Отсутствует в кодах CPV электронного аукциона В соответствии со статьей 22 Закона о закупках.</w:t>
            </w:r>
          </w:p>
        </w:tc>
      </w:tr>
      <w:tr>
        <w:trPr>
          <w:trHeight w:val="43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Дата направления или опубликования приглашения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2023-11-07</w:t>
            </w: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Дата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изменений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внесенных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приглашение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разъяснений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относительно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приглашения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Получения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запроса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Разъяснения</w:t>
            </w:r>
            <w:proofErr w:type="spellEnd"/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П/Н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Наименования</w:t>
            </w:r>
            <w:proofErr w:type="spellEnd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участников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 РА</w:t>
            </w:r>
          </w:p>
        </w:tc>
      </w:tr>
      <w:tr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Цена без НДС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Всего</w:t>
            </w:r>
            <w:proofErr w:type="spellEnd"/>
          </w:p>
        </w:tc>
      </w:tr>
      <w:tr>
        <w:trPr>
          <w:trHeight w:val="83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</w:tr>
      <w:tr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&lt;&lt;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Ֆոտոլուր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&gt;&gt;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1,118,000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1,118,000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Данные об отклоненных заявках</w:t>
            </w:r>
          </w:p>
        </w:tc>
      </w:tr>
      <w:t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Номер лота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Наименование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участника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Результаты оценки (удовлетворительно или неудовлетворительно)</w:t>
            </w:r>
          </w:p>
        </w:tc>
      </w:tr>
      <w:t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փաստաթղթերի առկայությունը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Наличие требуемых по приглашению документов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փաստաթղթերի համապատասխանությունը հրավերով սահմանված պահանջներին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Соответствие представленных по заявке документов требованиям установленным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приглашением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Առաջարկած գնման առարկայի տեխնիկական բնութագրերի համապատասխանությունը հրավերով սահմանված պահանջներին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Ценовое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предложение</w:t>
            </w:r>
            <w:proofErr w:type="spellEnd"/>
          </w:p>
        </w:tc>
      </w:tr>
      <w:t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lastRenderedPageBreak/>
              <w:t>2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left="-197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&lt;&lt;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Ֆոտոլուր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&gt;&gt; 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Առկա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Համապատասխան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Համապատասխան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1,118,000</w:t>
            </w:r>
          </w:p>
        </w:tc>
      </w:tr>
      <w:tr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Примечание: Иные основания для отклонения заявок.</w:t>
            </w:r>
          </w:p>
        </w:tc>
      </w:tr>
      <w:tr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определения отобранного участника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2023-11-17</w:t>
            </w:r>
          </w:p>
        </w:tc>
      </w:tr>
      <w:tr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Начало периода ожидания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Окончание периода ожидания</w:t>
            </w:r>
          </w:p>
        </w:tc>
      </w:tr>
      <w:tr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2023-11-17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2023-11-27</w:t>
            </w:r>
          </w:p>
        </w:tc>
      </w:tr>
      <w:tr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Дата извещения отобранного участника о предложении относительно заключения договора                                          2023-11-27</w:t>
            </w:r>
          </w:p>
        </w:tc>
      </w:tr>
      <w:tr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2023-11-27</w:t>
            </w:r>
          </w:p>
        </w:tc>
      </w:tr>
      <w:tr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подписания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заказчиком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2023-11-27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</w:t>
            </w:r>
            <w:proofErr w:type="spellEnd"/>
          </w:p>
        </w:tc>
      </w:tr>
      <w:tr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заключения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Крайний срок исполнения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Размер предоплаты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</w:t>
            </w:r>
          </w:p>
        </w:tc>
      </w:tr>
      <w:tr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По имеющимся финансовым средствам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Общая</w:t>
            </w:r>
            <w:proofErr w:type="spellEnd"/>
          </w:p>
        </w:tc>
      </w:tr>
      <w:tr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Ֆոտոլուր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ԱՍՀՆ-ԳՀԾՁԲ-24/5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28․12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.2023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25.12.2024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1118000</w:t>
            </w:r>
          </w:p>
        </w:tc>
      </w:tr>
      <w:tr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Наименование и адрес отобранного участника (отобранных участников)</w:t>
            </w:r>
          </w:p>
        </w:tc>
      </w:tr>
      <w:tr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 лота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Банковский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УНН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серия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паспорта</w:t>
            </w:r>
          </w:p>
        </w:tc>
      </w:tr>
      <w:tr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Ֆոտոլուր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ՀՀ, ք. Երևան, Պուշկինի 3ա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hyperlink r:id="rId8" w:history="1">
              <w:r>
                <w:rPr>
                  <w:rStyle w:val="Hyperlink"/>
                  <w:rFonts w:ascii="GHEA Grapalat" w:eastAsia="Times New Roman" w:hAnsi="GHEA Grapalat"/>
                  <w:sz w:val="14"/>
                  <w:szCs w:val="14"/>
                  <w:lang w:val="hy-AM" w:eastAsia="ru-RU"/>
                </w:rPr>
                <w:t>photolur@gmail.com</w:t>
              </w:r>
            </w:hyperlink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hyperlink r:id="rId9" w:history="1"/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2470139206960000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02560325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сведения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  <w:t xml:space="preserve"> </w:t>
            </w:r>
          </w:p>
          <w:p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Примечание: В случае, если какой-либо из лотов не состоялся, заказчик обязан заполнить сведения об этом.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մասնակիցները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անձինք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պատվիրատուին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ներկայացնել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կնքված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չափաբաժնի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ընդունման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համատեղ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հրապարակվելուց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------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օրացուցային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օրվա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ընթացքում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lang w:eastAsia="ru-RU"/>
              </w:rPr>
              <w:t>: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Պատվիրատուի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ղեկավարի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էլեկտրոնային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eastAsia="ru-RU"/>
              </w:rPr>
              <w:t xml:space="preserve"> է  ---------------------------: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vertAlign w:val="superscript"/>
                <w:lang w:eastAsia="ru-RU"/>
              </w:rPr>
              <w:footnoteReference w:id="8"/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lastRenderedPageBreak/>
              <w:t>совместном участии с ответственным подразделением  в процессе принятия результата данного лота заключенного договора, в течение ----------  календарных</w:t>
            </w:r>
            <w:r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дней после опубликования настоящего объявления.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К письменному требованию прилагается: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оригинал доверенности, выданный физическому лицу. При этом 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а. количество уполномоченных физических лиц не может превысить двух,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б. уполномоченное физическое лицо должно лично выполнять действия, на которые уполномочено;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trike/>
                <w:sz w:val="14"/>
                <w:szCs w:val="14"/>
                <w:u w:val="single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Официальный адрес электронной почты руководителя ответственного подразделения заказчика---------------------------.8</w:t>
            </w: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Другие необходимые сведения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>
        <w:trPr>
          <w:trHeight w:val="47"/>
        </w:trPr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Имя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Фамилия</w:t>
            </w:r>
            <w:proofErr w:type="spellEnd"/>
          </w:p>
        </w:tc>
        <w:tc>
          <w:tcPr>
            <w:tcW w:w="380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Телефон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почты</w:t>
            </w:r>
            <w:proofErr w:type="spellEnd"/>
          </w:p>
        </w:tc>
      </w:tr>
      <w:tr>
        <w:trPr>
          <w:trHeight w:val="47"/>
        </w:trPr>
        <w:tc>
          <w:tcPr>
            <w:tcW w:w="3510" w:type="dxa"/>
            <w:gridSpan w:val="8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Ք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 xml:space="preserve">․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Մայիլյան</w:t>
            </w:r>
          </w:p>
        </w:tc>
        <w:tc>
          <w:tcPr>
            <w:tcW w:w="3805" w:type="dxa"/>
            <w:gridSpan w:val="16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043 89 63 68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kristine.mailyan@mlsa.am</w:t>
              </w:r>
            </w:hyperlink>
          </w:p>
        </w:tc>
      </w:tr>
    </w:tbl>
    <w:p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>
      <w:pgSz w:w="11907" w:h="16840" w:code="9"/>
      <w:pgMar w:top="810" w:right="567" w:bottom="284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՝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>
      <w:pPr>
        <w:pStyle w:val="FootnoteText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7DCE2-016C-45B1-9E70-47F8FC9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l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istine.mailyan@mlsa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umorsmonito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4ECE-4F40-46C5-ABA4-93A13642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kristine mailyan</cp:lastModifiedBy>
  <cp:revision>109</cp:revision>
  <cp:lastPrinted>2021-12-17T10:05:00Z</cp:lastPrinted>
  <dcterms:created xsi:type="dcterms:W3CDTF">2021-06-28T12:08:00Z</dcterms:created>
  <dcterms:modified xsi:type="dcterms:W3CDTF">2023-12-29T08:57:00Z</dcterms:modified>
</cp:coreProperties>
</file>